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46"/>
          <w:szCs w:val="46"/>
          <w:u w:val="single" w:color="000000"/>
        </w:rPr>
        <w:t xml:space="preserve"> 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44"/>
          <w:szCs w:val="44"/>
        </w:rPr>
        <w:t xml:space="preserve">Chiamata CTG in reperibilità del </w:t>
      </w:r>
      <w:r w:rsidR="00A2299A">
        <w:rPr>
          <w:rFonts w:ascii="Lora" w:eastAsia="Lora" w:hAnsi="Lora" w:cs="Lora"/>
          <w:color w:val="000000"/>
          <w:sz w:val="44"/>
          <w:szCs w:val="44"/>
        </w:rPr>
        <w:t>1</w:t>
      </w:r>
      <w:r w:rsidR="00C9029A">
        <w:rPr>
          <w:rFonts w:ascii="Lora" w:eastAsia="Lora" w:hAnsi="Lora" w:cs="Lora"/>
          <w:color w:val="000000"/>
          <w:sz w:val="44"/>
          <w:szCs w:val="44"/>
        </w:rPr>
        <w:t>8</w:t>
      </w:r>
      <w:r>
        <w:rPr>
          <w:rFonts w:ascii="Lora" w:eastAsia="Lora" w:hAnsi="Lora" w:cs="Lora"/>
          <w:color w:val="000000"/>
          <w:sz w:val="44"/>
          <w:szCs w:val="44"/>
        </w:rPr>
        <w:t>-0</w:t>
      </w:r>
      <w:r w:rsidR="007A65C7">
        <w:rPr>
          <w:rFonts w:ascii="Lora" w:eastAsia="Lora" w:hAnsi="Lora" w:cs="Lora"/>
          <w:color w:val="000000"/>
          <w:sz w:val="44"/>
          <w:szCs w:val="44"/>
        </w:rPr>
        <w:t>8</w:t>
      </w:r>
      <w:r>
        <w:rPr>
          <w:rFonts w:ascii="Lora" w:eastAsia="Lora" w:hAnsi="Lora" w:cs="Lora"/>
          <w:color w:val="000000"/>
          <w:sz w:val="44"/>
          <w:szCs w:val="44"/>
        </w:rPr>
        <w:t xml:space="preserve">-2024 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4"/>
          <w:szCs w:val="24"/>
        </w:rPr>
        <w:t xml:space="preserve"> </w:t>
      </w:r>
    </w:p>
    <w:p w:rsidR="00C9029A" w:rsidRDefault="00A414E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  <w:r w:rsidRPr="002E7E5F">
        <w:rPr>
          <w:rFonts w:ascii="Lora" w:eastAsia="Lora" w:hAnsi="Lora" w:cs="Lora"/>
          <w:color w:val="000000"/>
          <w:sz w:val="32"/>
          <w:szCs w:val="28"/>
        </w:rPr>
        <w:t>OGGETTO</w:t>
      </w:r>
      <w:r w:rsidR="00C9029A">
        <w:rPr>
          <w:rFonts w:ascii="Lora" w:eastAsia="Lora" w:hAnsi="Lora" w:cs="Lora"/>
          <w:color w:val="000000"/>
          <w:sz w:val="32"/>
          <w:szCs w:val="28"/>
        </w:rPr>
        <w:t xml:space="preserve">: </w:t>
      </w:r>
      <w:r w:rsidR="00C9029A" w:rsidRPr="00C9029A">
        <w:rPr>
          <w:rFonts w:ascii="Lora" w:eastAsia="Lora" w:hAnsi="Lora" w:cs="Lora"/>
          <w:color w:val="000000"/>
          <w:sz w:val="32"/>
          <w:szCs w:val="28"/>
        </w:rPr>
        <w:t xml:space="preserve">Chiamata CTG per controllo funzionale su </w:t>
      </w:r>
    </w:p>
    <w:p w:rsidR="006B29A3" w:rsidRPr="002E7E5F" w:rsidRDefault="00C9029A">
      <w:pPr>
        <w:spacing w:before="120" w:after="120" w:line="336" w:lineRule="auto"/>
        <w:rPr>
          <w:sz w:val="28"/>
        </w:rPr>
      </w:pPr>
      <w:r w:rsidRPr="00C9029A">
        <w:rPr>
          <w:rFonts w:ascii="Lora" w:eastAsia="Lora" w:hAnsi="Lora" w:cs="Lora"/>
          <w:color w:val="000000"/>
          <w:sz w:val="32"/>
          <w:szCs w:val="28"/>
        </w:rPr>
        <w:t>L010AT</w:t>
      </w:r>
      <w:r>
        <w:rPr>
          <w:rFonts w:ascii="Lora" w:eastAsia="Lora" w:hAnsi="Lora" w:cs="Lora"/>
          <w:color w:val="000000"/>
          <w:sz w:val="32"/>
          <w:szCs w:val="28"/>
        </w:rPr>
        <w:t>/</w:t>
      </w:r>
      <w:r w:rsidRPr="00C9029A">
        <w:rPr>
          <w:rFonts w:ascii="Lora" w:eastAsia="Lora" w:hAnsi="Lora" w:cs="Lora"/>
          <w:color w:val="000000"/>
          <w:sz w:val="32"/>
          <w:szCs w:val="28"/>
        </w:rPr>
        <w:t>BT, F004RC e F005RC</w:t>
      </w:r>
    </w:p>
    <w:p w:rsidR="002E7E5F" w:rsidRDefault="002E7E5F" w:rsidP="007C6D42">
      <w:pPr>
        <w:rPr>
          <w:rFonts w:ascii="Lora" w:eastAsia="Lora" w:hAnsi="Lora" w:cs="Lora"/>
          <w:color w:val="000000"/>
          <w:sz w:val="32"/>
          <w:szCs w:val="28"/>
        </w:rPr>
      </w:pPr>
    </w:p>
    <w:p w:rsidR="008A6311" w:rsidRPr="00C9029A" w:rsidRDefault="002E7E5F" w:rsidP="00C9029A">
      <w:pPr>
        <w:spacing w:before="120" w:after="120" w:line="336" w:lineRule="auto"/>
        <w:rPr>
          <w:sz w:val="28"/>
        </w:rPr>
      </w:pPr>
      <w:r>
        <w:rPr>
          <w:rFonts w:ascii="Lora" w:hAnsi="Lora"/>
          <w:sz w:val="32"/>
          <w:szCs w:val="32"/>
        </w:rPr>
        <w:t>In</w:t>
      </w:r>
      <w:r w:rsidR="007C6D42" w:rsidRPr="007C6D42">
        <w:rPr>
          <w:rFonts w:ascii="Lora" w:hAnsi="Lora"/>
          <w:sz w:val="32"/>
          <w:szCs w:val="32"/>
        </w:rPr>
        <w:t xml:space="preserve"> seguito </w:t>
      </w:r>
      <w:r>
        <w:rPr>
          <w:rFonts w:ascii="Lora" w:hAnsi="Lora"/>
          <w:sz w:val="32"/>
          <w:szCs w:val="32"/>
        </w:rPr>
        <w:t>alla</w:t>
      </w:r>
      <w:r w:rsidR="007C6D42" w:rsidRPr="007C6D42">
        <w:rPr>
          <w:rFonts w:ascii="Lora" w:hAnsi="Lora"/>
          <w:sz w:val="32"/>
          <w:szCs w:val="32"/>
        </w:rPr>
        <w:t xml:space="preserve"> chi</w:t>
      </w:r>
      <w:bookmarkStart w:id="0" w:name="_GoBack"/>
      <w:bookmarkEnd w:id="0"/>
      <w:r w:rsidR="007C6D42" w:rsidRPr="007C6D42">
        <w:rPr>
          <w:rFonts w:ascii="Lora" w:hAnsi="Lora"/>
          <w:sz w:val="32"/>
          <w:szCs w:val="32"/>
        </w:rPr>
        <w:t xml:space="preserve">amata del CTG in data </w:t>
      </w:r>
      <w:r w:rsidR="00A2299A">
        <w:rPr>
          <w:rFonts w:ascii="Lora" w:hAnsi="Lora"/>
          <w:sz w:val="32"/>
          <w:szCs w:val="32"/>
        </w:rPr>
        <w:t>1</w:t>
      </w:r>
      <w:r w:rsidR="00C9029A">
        <w:rPr>
          <w:rFonts w:ascii="Lora" w:hAnsi="Lora"/>
          <w:sz w:val="32"/>
          <w:szCs w:val="32"/>
        </w:rPr>
        <w:t>8</w:t>
      </w:r>
      <w:r w:rsidR="007C6D42" w:rsidRPr="007C6D42">
        <w:rPr>
          <w:rFonts w:ascii="Lora" w:hAnsi="Lora"/>
          <w:sz w:val="32"/>
          <w:szCs w:val="32"/>
        </w:rPr>
        <w:t>/0</w:t>
      </w:r>
      <w:r w:rsidR="007A65C7">
        <w:rPr>
          <w:rFonts w:ascii="Lora" w:hAnsi="Lora"/>
          <w:sz w:val="32"/>
          <w:szCs w:val="32"/>
        </w:rPr>
        <w:t>8</w:t>
      </w:r>
      <w:r w:rsidR="007C6D42" w:rsidRPr="007C6D42">
        <w:rPr>
          <w:rFonts w:ascii="Lora" w:hAnsi="Lora"/>
          <w:sz w:val="32"/>
          <w:szCs w:val="32"/>
        </w:rPr>
        <w:t xml:space="preserve">/2024 siamo intervenuti per </w:t>
      </w:r>
      <w:r w:rsidR="001A5E35">
        <w:rPr>
          <w:rFonts w:ascii="Lora" w:hAnsi="Lora"/>
          <w:sz w:val="32"/>
          <w:szCs w:val="32"/>
        </w:rPr>
        <w:t xml:space="preserve">il </w:t>
      </w:r>
      <w:r w:rsidR="00A2299A">
        <w:rPr>
          <w:rFonts w:ascii="Lora" w:hAnsi="Lora"/>
          <w:sz w:val="32"/>
          <w:szCs w:val="32"/>
        </w:rPr>
        <w:t>controll</w:t>
      </w:r>
      <w:r w:rsidR="008A6311">
        <w:rPr>
          <w:rFonts w:ascii="Lora" w:hAnsi="Lora"/>
          <w:sz w:val="32"/>
          <w:szCs w:val="32"/>
        </w:rPr>
        <w:t>o e il ripristino del</w:t>
      </w:r>
      <w:r w:rsidR="001A5E35">
        <w:rPr>
          <w:rFonts w:ascii="Lora" w:hAnsi="Lora"/>
          <w:sz w:val="32"/>
          <w:szCs w:val="32"/>
        </w:rPr>
        <w:t xml:space="preserve"> livello </w:t>
      </w:r>
      <w:r w:rsidR="00C9029A" w:rsidRPr="00C9029A">
        <w:rPr>
          <w:rFonts w:ascii="Lora" w:eastAsia="Lora" w:hAnsi="Lora" w:cs="Lora"/>
          <w:color w:val="000000"/>
          <w:sz w:val="32"/>
          <w:szCs w:val="28"/>
        </w:rPr>
        <w:t>su L010AT-BT, F004RC e F005RC</w:t>
      </w:r>
    </w:p>
    <w:p w:rsidR="00C9029A" w:rsidRPr="00C9029A" w:rsidRDefault="00C9029A" w:rsidP="00C9029A">
      <w:pPr>
        <w:spacing w:before="100" w:beforeAutospacing="1" w:after="100" w:afterAutospacing="1" w:line="240" w:lineRule="auto"/>
        <w:rPr>
          <w:rFonts w:ascii="Lora" w:eastAsia="Times New Roman" w:hAnsi="Lora" w:cs="Times New Roman"/>
          <w:sz w:val="24"/>
          <w:szCs w:val="24"/>
        </w:rPr>
      </w:pPr>
      <w:r w:rsidRPr="00C9029A">
        <w:rPr>
          <w:rFonts w:ascii="Lora" w:eastAsia="Times New Roman" w:hAnsi="Lora" w:cs="Times New Roman"/>
          <w:color w:val="000000"/>
          <w:sz w:val="32"/>
          <w:szCs w:val="32"/>
        </w:rPr>
        <w:t>Dai controlli effettuati, non sono state riscontrate anomalie nei due livelli (06L010AT/BT); si è atteso che l’esercizio facesse un po' di riempimento nel fondo della T101 per confrontare le due misure.</w:t>
      </w:r>
      <w:r w:rsidRPr="00C9029A">
        <w:rPr>
          <w:rFonts w:ascii="Lora" w:eastAsia="Times New Roman" w:hAnsi="Lora" w:cs="Times New Roman"/>
          <w:sz w:val="24"/>
          <w:szCs w:val="24"/>
        </w:rPr>
        <w:br/>
      </w:r>
      <w:r w:rsidRPr="00C9029A">
        <w:rPr>
          <w:rFonts w:ascii="Lora" w:eastAsia="Times New Roman" w:hAnsi="Lora" w:cs="Times New Roman"/>
          <w:color w:val="000000"/>
          <w:sz w:val="32"/>
          <w:szCs w:val="32"/>
        </w:rPr>
        <w:t>In seguito, con il medesimo permesso di lavoro, è stata richiesta la verifica di due portate sui passi di carica, F004RC e F005RC, entrambe necessitanti di un adeguamento dei flussaggi.</w:t>
      </w:r>
    </w:p>
    <w:p w:rsidR="002E7E5F" w:rsidRPr="00C9029A" w:rsidRDefault="002E7E5F">
      <w:pPr>
        <w:spacing w:before="120" w:after="120" w:line="336" w:lineRule="auto"/>
        <w:rPr>
          <w:rFonts w:ascii="Lora" w:hAnsi="Lora"/>
          <w:sz w:val="32"/>
          <w:szCs w:val="32"/>
        </w:rPr>
      </w:pPr>
    </w:p>
    <w:p w:rsidR="002E7E5F" w:rsidRDefault="002E7E5F">
      <w:pPr>
        <w:spacing w:before="120" w:after="120" w:line="336" w:lineRule="auto"/>
      </w:pP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0"/>
          <w:szCs w:val="20"/>
        </w:rPr>
        <w:t xml:space="preserve"> </w:t>
      </w:r>
    </w:p>
    <w:p w:rsidR="006B29A3" w:rsidRDefault="006B29A3">
      <w:pPr>
        <w:pBdr>
          <w:bottom w:val="single" w:sz="6" w:space="0" w:color="BFC3C8"/>
        </w:pBdr>
        <w:spacing w:before="120" w:after="120" w:line="0" w:lineRule="auto"/>
      </w:pP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6"/>
          <w:szCs w:val="26"/>
        </w:rPr>
        <w:t xml:space="preserve">Priolo Gargallo </w:t>
      </w:r>
      <w:r w:rsidR="00A2299A">
        <w:rPr>
          <w:rFonts w:ascii="Lora" w:eastAsia="Lora" w:hAnsi="Lora" w:cs="Lora"/>
          <w:color w:val="000000"/>
          <w:sz w:val="26"/>
          <w:szCs w:val="26"/>
        </w:rPr>
        <w:t>1</w:t>
      </w:r>
      <w:r w:rsidR="00C9029A">
        <w:rPr>
          <w:rFonts w:ascii="Lora" w:eastAsia="Lora" w:hAnsi="Lora" w:cs="Lora"/>
          <w:color w:val="000000"/>
          <w:sz w:val="26"/>
          <w:szCs w:val="26"/>
        </w:rPr>
        <w:t>8</w:t>
      </w:r>
      <w:r>
        <w:rPr>
          <w:rFonts w:ascii="Lora" w:eastAsia="Lora" w:hAnsi="Lora" w:cs="Lora"/>
          <w:color w:val="000000"/>
          <w:sz w:val="26"/>
          <w:szCs w:val="26"/>
        </w:rPr>
        <w:t>/0</w:t>
      </w:r>
      <w:r w:rsidR="007A65C7">
        <w:rPr>
          <w:rFonts w:ascii="Lora" w:eastAsia="Lora" w:hAnsi="Lora" w:cs="Lora"/>
          <w:color w:val="000000"/>
          <w:sz w:val="26"/>
          <w:szCs w:val="26"/>
        </w:rPr>
        <w:t>8</w:t>
      </w:r>
      <w:r>
        <w:rPr>
          <w:rFonts w:ascii="Lora" w:eastAsia="Lora" w:hAnsi="Lora" w:cs="Lora"/>
          <w:color w:val="000000"/>
          <w:sz w:val="26"/>
          <w:szCs w:val="26"/>
        </w:rPr>
        <w:t>/2024                                             Il tecnico Strumentista</w:t>
      </w:r>
      <w:r>
        <w:rPr>
          <w:rFonts w:ascii="Lora" w:eastAsia="Lora" w:hAnsi="Lora" w:cs="Lora"/>
          <w:color w:val="000000"/>
        </w:rPr>
        <w:t xml:space="preserve"> 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6"/>
          <w:szCs w:val="26"/>
        </w:rPr>
        <w:t xml:space="preserve">                                                                                              </w:t>
      </w:r>
      <w:r w:rsidR="00F63648">
        <w:rPr>
          <w:rFonts w:ascii="Lora" w:eastAsia="Lora" w:hAnsi="Lora" w:cs="Lora"/>
          <w:color w:val="000000"/>
          <w:sz w:val="26"/>
          <w:szCs w:val="26"/>
        </w:rPr>
        <w:t>Spinali D.</w:t>
      </w:r>
      <w:r>
        <w:rPr>
          <w:rFonts w:ascii="Lora" w:eastAsia="Lora" w:hAnsi="Lora" w:cs="Lora"/>
          <w:color w:val="000000"/>
          <w:sz w:val="26"/>
          <w:szCs w:val="26"/>
        </w:rPr>
        <w:t xml:space="preserve"> / </w:t>
      </w:r>
      <w:proofErr w:type="spellStart"/>
      <w:r w:rsidR="00F63648">
        <w:rPr>
          <w:rFonts w:ascii="Lora" w:eastAsia="Lora" w:hAnsi="Lora" w:cs="Lora"/>
          <w:color w:val="000000"/>
          <w:sz w:val="26"/>
          <w:szCs w:val="26"/>
        </w:rPr>
        <w:t>Partesano</w:t>
      </w:r>
      <w:proofErr w:type="spellEnd"/>
      <w:r w:rsidR="00F63648">
        <w:rPr>
          <w:rFonts w:ascii="Lora" w:eastAsia="Lora" w:hAnsi="Lora" w:cs="Lora"/>
          <w:color w:val="000000"/>
          <w:sz w:val="26"/>
          <w:szCs w:val="26"/>
        </w:rPr>
        <w:t xml:space="preserve"> V.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4"/>
          <w:szCs w:val="24"/>
        </w:rPr>
        <w:t xml:space="preserve"> </w:t>
      </w:r>
    </w:p>
    <w:p w:rsidR="006B29A3" w:rsidRDefault="00A414EB">
      <w:pPr>
        <w:spacing w:before="120" w:after="120" w:line="336" w:lineRule="auto"/>
      </w:pPr>
      <w:r>
        <w:rPr>
          <w:rFonts w:ascii="Lora Bold Italics" w:eastAsia="Lora Bold Italics" w:hAnsi="Lora Bold Italics" w:cs="Lora Bold Italics"/>
          <w:b/>
          <w:bCs/>
          <w:i/>
          <w:iCs/>
          <w:color w:val="000000"/>
          <w:sz w:val="24"/>
          <w:szCs w:val="24"/>
        </w:rPr>
        <w:t xml:space="preserve"> </w:t>
      </w:r>
    </w:p>
    <w:sectPr w:rsidR="006B29A3">
      <w:pgSz w:w="11910" w:h="16845"/>
      <w:pgMar w:top="1417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4AB4C65-EEF8-4B25-A3AA-20589002326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ora">
    <w:altName w:val="Calibri"/>
    <w:charset w:val="00"/>
    <w:family w:val="auto"/>
    <w:pitch w:val="default"/>
    <w:embedRegular r:id="rId2" w:fontKey="{C40887CE-7013-4FAC-ABD6-1AC116D79541}"/>
  </w:font>
  <w:font w:name="Lora Bold Italics">
    <w:charset w:val="00"/>
    <w:family w:val="auto"/>
    <w:pitch w:val="default"/>
    <w:embedBoldItalic r:id="rId3" w:fontKey="{82DBB421-A7D1-423A-A6D6-0EA954CF3CD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EC236562-4776-481A-88E8-E0622257CC7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embedTrueTypeFonts/>
  <w:proofState w:spelling="clean" w:grammar="clean"/>
  <w:defaultTabStop w:val="708"/>
  <w:hyphenationZone w:val="283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29A3"/>
    <w:rsid w:val="00045D15"/>
    <w:rsid w:val="001A5E35"/>
    <w:rsid w:val="002D0270"/>
    <w:rsid w:val="002E7E5F"/>
    <w:rsid w:val="00590B10"/>
    <w:rsid w:val="005D02E0"/>
    <w:rsid w:val="006B29A3"/>
    <w:rsid w:val="007A65C7"/>
    <w:rsid w:val="007C6D42"/>
    <w:rsid w:val="00856614"/>
    <w:rsid w:val="008A6311"/>
    <w:rsid w:val="00A2299A"/>
    <w:rsid w:val="00A414EB"/>
    <w:rsid w:val="00B0623D"/>
    <w:rsid w:val="00C87D57"/>
    <w:rsid w:val="00C9029A"/>
    <w:rsid w:val="00F63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9681D2"/>
  <w15:docId w15:val="{0C7DD797-BDBB-4C9D-9BA1-E78339C47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7A65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5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8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6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0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6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</Pages>
  <Words>132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Apache POI</dc:creator>
  <cp:lastModifiedBy>Giancarlo Allegretti</cp:lastModifiedBy>
  <cp:revision>15</cp:revision>
  <cp:lastPrinted>2024-08-19T05:07:00Z</cp:lastPrinted>
  <dcterms:created xsi:type="dcterms:W3CDTF">2024-07-25T05:39:00Z</dcterms:created>
  <dcterms:modified xsi:type="dcterms:W3CDTF">2024-08-19T05:11:00Z</dcterms:modified>
</cp:coreProperties>
</file>