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0C55" w:rsidRDefault="00B60C55" w:rsidP="00B60C55">
      <w:pPr>
        <w:jc w:val="both"/>
        <w:rPr>
          <w:rFonts w:ascii="Lora" w:hAnsi="Lora"/>
          <w:sz w:val="40"/>
        </w:rPr>
      </w:pPr>
      <w:bookmarkStart w:id="0" w:name="_GoBack"/>
      <w:bookmarkEnd w:id="0"/>
      <w:r>
        <w:rPr>
          <w:rFonts w:ascii="Lora" w:hAnsi="Lora"/>
          <w:sz w:val="40"/>
        </w:rPr>
        <w:t>Chiamata di reperibilit</w:t>
      </w:r>
      <w:r>
        <w:rPr>
          <w:rFonts w:ascii="Lora" w:hAnsi="Lora" w:hint="eastAsia"/>
          <w:sz w:val="40"/>
        </w:rPr>
        <w:t>à</w:t>
      </w:r>
      <w:r>
        <w:rPr>
          <w:rFonts w:ascii="Lora" w:hAnsi="Lora"/>
          <w:sz w:val="40"/>
        </w:rPr>
        <w:t xml:space="preserve"> del 11/10/2025</w:t>
      </w:r>
    </w:p>
    <w:p w:rsidR="00B60C55" w:rsidRDefault="00B60C55" w:rsidP="00B60C55">
      <w:pPr>
        <w:jc w:val="both"/>
        <w:rPr>
          <w:rFonts w:ascii="Lora" w:hAnsi="Lora"/>
          <w:sz w:val="40"/>
        </w:rPr>
      </w:pPr>
    </w:p>
    <w:p w:rsidR="00B60C55" w:rsidRDefault="00B60C55" w:rsidP="00B60C55">
      <w:pPr>
        <w:jc w:val="both"/>
        <w:rPr>
          <w:rFonts w:ascii="Lora" w:hAnsi="Lora"/>
          <w:sz w:val="40"/>
        </w:rPr>
      </w:pPr>
      <w:r>
        <w:rPr>
          <w:rFonts w:ascii="Lora" w:hAnsi="Lora"/>
          <w:sz w:val="40"/>
        </w:rPr>
        <w:t>OGGETTO: 300 - Chiamata CTG per Controllo funzionale 300-LCV006Controllo funzionale 300-LRC011</w:t>
      </w:r>
    </w:p>
    <w:p w:rsidR="00B60C55" w:rsidRDefault="00B60C55" w:rsidP="00B60C55">
      <w:pPr>
        <w:jc w:val="both"/>
        <w:rPr>
          <w:rFonts w:ascii="Lora" w:hAnsi="Lora"/>
          <w:sz w:val="40"/>
        </w:rPr>
      </w:pPr>
    </w:p>
    <w:p w:rsidR="00B60C55" w:rsidRDefault="00B60C55" w:rsidP="00B60C55">
      <w:pPr>
        <w:jc w:val="both"/>
        <w:rPr>
          <w:rFonts w:ascii="Lora" w:hAnsi="Lora"/>
          <w:sz w:val="40"/>
        </w:rPr>
      </w:pPr>
      <w:r>
        <w:rPr>
          <w:rFonts w:ascii="Lora" w:hAnsi="Lora"/>
          <w:sz w:val="40"/>
        </w:rPr>
        <w:t xml:space="preserve">A seguito della chiamata da parte del CTG, </w:t>
      </w:r>
      <w:r>
        <w:rPr>
          <w:rFonts w:ascii="Lora" w:hAnsi="Lora" w:hint="eastAsia"/>
          <w:sz w:val="40"/>
        </w:rPr>
        <w:t>è</w:t>
      </w:r>
      <w:r>
        <w:rPr>
          <w:rFonts w:ascii="Lora" w:hAnsi="Lora"/>
          <w:sz w:val="40"/>
        </w:rPr>
        <w:t xml:space="preserve"> stato eseguito un intervento sulla valvola di controllo 300-LCV006. La sostituzione della membrana ha permesso di ripristinarne la piena funzionalit</w:t>
      </w:r>
      <w:r>
        <w:rPr>
          <w:rFonts w:ascii="Lora" w:hAnsi="Lora" w:hint="eastAsia"/>
          <w:sz w:val="40"/>
        </w:rPr>
        <w:t>à</w:t>
      </w:r>
      <w:r>
        <w:rPr>
          <w:rFonts w:ascii="Lora" w:hAnsi="Lora"/>
          <w:sz w:val="40"/>
        </w:rPr>
        <w:t xml:space="preserve">. Successivamente, sullo strumento LRC011 </w:t>
      </w:r>
      <w:r>
        <w:rPr>
          <w:rFonts w:ascii="Lora" w:hAnsi="Lora" w:hint="eastAsia"/>
          <w:sz w:val="40"/>
        </w:rPr>
        <w:t>è</w:t>
      </w:r>
      <w:r>
        <w:rPr>
          <w:rFonts w:ascii="Lora" w:hAnsi="Lora"/>
          <w:sz w:val="40"/>
        </w:rPr>
        <w:t xml:space="preserve"> stata effettuata la taratura dello strumento elettronico; si raccomanda la sostituzione del trasmettitore pneumatico.</w:t>
      </w:r>
    </w:p>
    <w:p w:rsidR="00B60C55" w:rsidRDefault="00B60C55" w:rsidP="00B60C55">
      <w:pPr>
        <w:jc w:val="both"/>
        <w:rPr>
          <w:rFonts w:ascii="Lora" w:hAnsi="Lora"/>
          <w:sz w:val="40"/>
        </w:rPr>
      </w:pPr>
    </w:p>
    <w:p w:rsidR="00B60C55" w:rsidRDefault="00B60C55" w:rsidP="00B60C55">
      <w:pPr>
        <w:jc w:val="both"/>
        <w:rPr>
          <w:rFonts w:ascii="Lora" w:hAnsi="Lora"/>
          <w:sz w:val="40"/>
        </w:rPr>
      </w:pPr>
    </w:p>
    <w:p w:rsidR="00B60C55" w:rsidRDefault="00B60C55" w:rsidP="00B60C55">
      <w:pPr>
        <w:jc w:val="both"/>
        <w:rPr>
          <w:rFonts w:ascii="Lora" w:hAnsi="Lora"/>
          <w:sz w:val="40"/>
        </w:rPr>
      </w:pPr>
    </w:p>
    <w:p w:rsidR="00B60C55" w:rsidRDefault="00B60C55" w:rsidP="00B60C55">
      <w:pPr>
        <w:jc w:val="both"/>
        <w:rPr>
          <w:rFonts w:ascii="Lora" w:hAnsi="Lora"/>
          <w:sz w:val="40"/>
        </w:rPr>
      </w:pPr>
    </w:p>
    <w:p w:rsidR="00B60C55" w:rsidRDefault="00B60C55" w:rsidP="00B60C55">
      <w:pPr>
        <w:jc w:val="both"/>
        <w:rPr>
          <w:rFonts w:ascii="Lora" w:hAnsi="Lora"/>
          <w:sz w:val="40"/>
        </w:rPr>
      </w:pPr>
    </w:p>
    <w:p w:rsidR="00B60C55" w:rsidRDefault="00B60C55" w:rsidP="00B60C55">
      <w:pPr>
        <w:jc w:val="both"/>
        <w:rPr>
          <w:rFonts w:ascii="Lora" w:hAnsi="Lora"/>
          <w:sz w:val="40"/>
        </w:rPr>
      </w:pPr>
    </w:p>
    <w:p w:rsidR="00B60C55" w:rsidRDefault="00B60C55" w:rsidP="00B60C55">
      <w:pPr>
        <w:jc w:val="both"/>
        <w:rPr>
          <w:rFonts w:ascii="Lora" w:hAnsi="Lora"/>
          <w:sz w:val="40"/>
        </w:rPr>
      </w:pPr>
    </w:p>
    <w:p w:rsidR="00B60C55" w:rsidRDefault="00B60C55" w:rsidP="00B60C55">
      <w:pPr>
        <w:jc w:val="both"/>
        <w:rPr>
          <w:rFonts w:ascii="Lora" w:hAnsi="Lora"/>
          <w:sz w:val="40"/>
        </w:rPr>
      </w:pPr>
    </w:p>
    <w:p w:rsidR="00B60C55" w:rsidRDefault="00B60C55" w:rsidP="00B60C55">
      <w:pPr>
        <w:jc w:val="both"/>
        <w:rPr>
          <w:rFonts w:ascii="Lora" w:hAnsi="Lora"/>
          <w:sz w:val="40"/>
        </w:rPr>
      </w:pPr>
    </w:p>
    <w:p w:rsidR="00B60C55" w:rsidRDefault="00B60C55" w:rsidP="00B60C55">
      <w:pPr>
        <w:jc w:val="both"/>
        <w:rPr>
          <w:rFonts w:ascii="Lora" w:hAnsi="Lora"/>
          <w:sz w:val="40"/>
        </w:rPr>
      </w:pPr>
      <w:r>
        <w:rPr>
          <w:rFonts w:ascii="Lora" w:hAnsi="Lora"/>
          <w:sz w:val="40"/>
        </w:rPr>
        <w:t>Priolo Gargallo 11/10/2025            Il Tecnico Strumentista</w:t>
      </w:r>
    </w:p>
    <w:p w:rsidR="00837BF7" w:rsidRPr="00B60C55" w:rsidRDefault="00B60C55" w:rsidP="00B60C55">
      <w:pPr>
        <w:jc w:val="both"/>
        <w:rPr>
          <w:rFonts w:ascii="Lora" w:hAnsi="Lora"/>
          <w:sz w:val="40"/>
        </w:rPr>
      </w:pPr>
      <w:r>
        <w:rPr>
          <w:rFonts w:ascii="Lora" w:hAnsi="Lora"/>
          <w:sz w:val="40"/>
        </w:rPr>
        <w:t xml:space="preserve">                                                                Allegretti G./Spinali D.</w:t>
      </w:r>
    </w:p>
    <w:sectPr w:rsidR="00837BF7" w:rsidRPr="00B60C5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1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55"/>
    <w:rsid w:val="00837BF7"/>
    <w:rsid w:val="00B6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F55BB6-5EC8-4541-BECB-8582F1732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Allegretti</dc:creator>
  <cp:keywords/>
  <dc:description/>
  <cp:lastModifiedBy>Giancarlo Allegretti</cp:lastModifiedBy>
  <cp:revision>1</cp:revision>
  <dcterms:created xsi:type="dcterms:W3CDTF">2025-10-13T05:04:00Z</dcterms:created>
  <dcterms:modified xsi:type="dcterms:W3CDTF">2025-10-13T05:04:00Z</dcterms:modified>
</cp:coreProperties>
</file>