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after="200"/>
        <w:jc w:val="left"/>
      </w:pPr>
      <w:r>
        <w:t>Curaduría de Fondos Offshore</w:t>
      </w:r>
    </w:p>
    <w:p>
      <w:pPr>
        <w:spacing w:after="200" w:before="0" w:line="240" w:lineRule="auto"/>
        <w:jc w:val="left"/>
      </w:pPr>
      <w:r>
        <w:rPr>
          <w:rFonts w:ascii="Aptos" w:hAnsi="Aptos"/>
          <w:b w:val="0"/>
          <w:color w:val="082D6B"/>
          <w:sz w:val="28"/>
        </w:rPr>
        <w:t>Base de contenidos para asesores y desarrollo web</w:t>
      </w:r>
    </w:p>
    <w:p>
      <w:pPr>
        <w:spacing w:after="80" w:before="280" w:line="240" w:lineRule="auto"/>
        <w:jc w:val="left"/>
      </w:pPr>
      <w:r>
        <w:rPr>
          <w:rFonts w:ascii="Aptos" w:hAnsi="Aptos"/>
          <w:b/>
          <w:color w:val="000000"/>
          <w:sz w:val="30"/>
        </w:rPr>
        <w:t>Performance al 30 de septiembre de 2026</w:t>
      </w:r>
    </w:p>
    <w:p>
      <w:pPr>
        <w:spacing w:after="360" w:before="0" w:line="240" w:lineRule="auto"/>
        <w:jc w:val="left"/>
      </w:pPr>
      <w:r>
        <w:rPr>
          <w:rFonts w:ascii="Aptos" w:hAnsi="Aptos"/>
          <w:b w:val="0"/>
          <w:color w:val="5D6E89"/>
          <w:sz w:val="22"/>
        </w:rPr>
        <w:t>Composición: ETPs Balanz al cierre de septiembre y fondos offshore al cierre de agosto de 2026</w:t>
      </w:r>
    </w:p>
    <w:p>
      <w:pPr>
        <w:spacing w:after="360" w:before="0" w:line="240" w:lineRule="auto"/>
        <w:jc w:val="left"/>
      </w:pPr>
      <w:r>
        <w:rPr>
          <w:rFonts w:ascii="Aptos" w:hAnsi="Aptos"/>
          <w:b w:val="0"/>
          <w:color w:val="000000"/>
          <w:sz w:val="24"/>
        </w:rPr>
        <w:t>El documento reúne 43 productos. Cada ficha presenta la clase identificada por ISIN, el objetivo y la política de inversión, la performance, los costos, las plataformas disponibles y el mayor detalle de composición publicado por la gestora.</w:t>
      </w:r>
    </w:p>
    <w:p>
      <w:pPr>
        <w:spacing w:after="0" w:before="0" w:line="240" w:lineRule="auto"/>
        <w:jc w:val="left"/>
      </w:pPr>
      <w:r>
        <w:rPr>
          <w:rFonts w:ascii="Aptos" w:hAnsi="Aptos"/>
          <w:b w:val="0"/>
          <w:color w:val="5D6E89"/>
          <w:sz w:val="18"/>
        </w:rPr>
        <w:t>Fuente Factsheet y Reuters</w:t>
      </w:r>
    </w:p>
    <w:p>
      <w:r>
        <w:br w:type="page"/>
      </w:r>
    </w:p>
    <w:p>
      <w:pPr>
        <w:pStyle w:val="Heading1"/>
        <w:spacing w:before="0" w:after="100"/>
      </w:pPr>
      <w:r>
        <w:t>Alcance y criterio de actualización</w:t>
      </w:r>
    </w:p>
    <w:p>
      <w:pPr>
        <w:spacing w:after="160" w:before="0" w:line="240" w:lineRule="auto"/>
        <w:jc w:val="left"/>
      </w:pPr>
      <w:r>
        <w:rPr>
          <w:rFonts w:ascii="Aptos" w:hAnsi="Aptos"/>
          <w:b w:val="0"/>
          <w:color w:val="000000"/>
          <w:sz w:val="20"/>
        </w:rPr>
        <w:t>La curaduría organiza una selección de fondos y ETPs por tipo de renta, horizonte y fuente de retorno. El objetivo es que los asesores puedan comparar productos y consultar la información esencial de cada estrategia sin depender de una presentación oral.</w:t>
      </w:r>
    </w:p>
    <w:p>
      <w:pPr>
        <w:pStyle w:val="Heading2"/>
        <w:spacing w:before="0" w:after="100"/>
      </w:pPr>
      <w:r>
        <w:t>Datos de performance</w:t>
      </w:r>
    </w:p>
    <w:p>
      <w:pPr>
        <w:spacing w:after="140" w:before="0" w:line="240" w:lineRule="auto"/>
        <w:jc w:val="left"/>
      </w:pPr>
      <w:r>
        <w:rPr>
          <w:rFonts w:ascii="Aptos" w:hAnsi="Aptos"/>
          <w:b w:val="0"/>
          <w:color w:val="000000"/>
          <w:sz w:val="18"/>
        </w:rPr>
        <w:t>Los valores de AUM, YTD, 1M, 3M, 6M, 1Y, 3Y y 5Y provienen de la hoja Performance Ago 26 del Excel operativo, interpretada como corte al 30/09/2026 según la instrucción recibida. Los rendimientos a 3 y 5 años se muestran anualizados. Los datos faltantes se indican con un guion.</w:t>
      </w:r>
    </w:p>
    <w:p>
      <w:pPr>
        <w:pStyle w:val="Heading2"/>
        <w:spacing w:before="0" w:after="100"/>
      </w:pPr>
      <w:r>
        <w:t>Objetivos y política de inversión</w:t>
      </w:r>
    </w:p>
    <w:p>
      <w:pPr>
        <w:spacing w:after="140" w:before="0" w:line="240" w:lineRule="auto"/>
        <w:jc w:val="left"/>
      </w:pPr>
      <w:r>
        <w:rPr>
          <w:rFonts w:ascii="Aptos" w:hAnsi="Aptos"/>
          <w:b w:val="0"/>
          <w:color w:val="000000"/>
          <w:sz w:val="18"/>
        </w:rPr>
        <w:t>Las descripciones se basan en los factsheets suministrados. Se conservaron las condiciones relevantes de inversión, el universo elegible, los límites de exposición y el proceso de gestión cuando la fuente los publica.</w:t>
      </w:r>
    </w:p>
    <w:p>
      <w:pPr>
        <w:pStyle w:val="Heading2"/>
        <w:spacing w:before="0" w:after="100"/>
      </w:pPr>
      <w:r>
        <w:t>Composición y exposición</w:t>
      </w:r>
    </w:p>
    <w:p>
      <w:pPr>
        <w:spacing w:after="140" w:before="0" w:line="240" w:lineRule="auto"/>
        <w:jc w:val="left"/>
      </w:pPr>
      <w:r>
        <w:rPr>
          <w:rFonts w:ascii="Aptos" w:hAnsi="Aptos"/>
          <w:b w:val="0"/>
          <w:color w:val="000000"/>
          <w:sz w:val="18"/>
        </w:rPr>
        <w:t>Cada ficha prioriza la información disponible en el factsheet: asignación por activo, sectores, países, calidad crediticia, vencimientos, duración, monedas y principales emisores o tenencias. No se estimaron pesos ni exposiciones ausentes. Cuando una tabla incluye derivados, coberturas o exposiciones netas, se mantuvo el signo informado por la fuente.</w:t>
      </w:r>
    </w:p>
    <w:p>
      <w:pPr>
        <w:spacing w:after="140" w:before="0" w:line="240" w:lineRule="auto"/>
        <w:jc w:val="left"/>
      </w:pPr>
      <w:r>
        <w:rPr>
          <w:rFonts w:ascii="Aptos" w:hAnsi="Aptos"/>
          <w:b w:val="0"/>
          <w:color w:val="000000"/>
          <w:sz w:val="18"/>
        </w:rPr>
        <w:t>Para la fecha de composición se utilizó el cierre de septiembre en los ETPs Balanz y el cierre de agosto en los fondos offshore. Los factsheets offshore recibidos con fecha de septiembre se incorporaron bajo el criterio acordado de composición de agosto.</w:t>
      </w:r>
    </w:p>
    <w:p>
      <w:pPr>
        <w:pStyle w:val="Heading2"/>
        <w:spacing w:before="0" w:after="100"/>
      </w:pPr>
      <w:r>
        <w:t>Uso del documento</w:t>
      </w:r>
    </w:p>
    <w:p>
      <w:pPr>
        <w:spacing w:after="0" w:before="0" w:line="240" w:lineRule="auto"/>
        <w:jc w:val="left"/>
      </w:pPr>
      <w:r>
        <w:rPr>
          <w:rFonts w:ascii="Aptos" w:hAnsi="Aptos"/>
          <w:b w:val="0"/>
          <w:color w:val="000000"/>
          <w:sz w:val="18"/>
        </w:rPr>
        <w:t>Este material es de uso interno para asesores. Funciona como base estructurada para la futura página web y no constituye una recomendación personalizada de inversión.</w:t>
      </w:r>
    </w:p>
    <w:p>
      <w:r>
        <w:br w:type="page"/>
      </w:r>
    </w:p>
    <w:p>
      <w:pPr>
        <w:pStyle w:val="Heading1"/>
        <w:spacing w:before="0" w:after="100"/>
      </w:pPr>
      <w:r>
        <w:t>Mapa de fondos Productos Balanz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2448"/>
        <w:gridCol w:w="1008"/>
        <w:gridCol w:w="792"/>
        <w:gridCol w:w="792"/>
        <w:gridCol w:w="792"/>
        <w:gridCol w:w="792"/>
        <w:gridCol w:w="792"/>
        <w:gridCol w:w="792"/>
        <w:gridCol w:w="720"/>
        <w:gridCol w:w="792"/>
        <w:gridCol w:w="2016"/>
      </w:tblGrid>
      <w:tr>
        <w:trPr>
          <w:tblHeader w:val="true"/>
        </w:trPr>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ISIN</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Fondo y clase</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Categoría</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Dur.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TER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Plataformas</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XS2621330369</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BALANZ INCOME</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Liquidez / Money Market</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97,3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1,95%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0,21%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0,66%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1,32%</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2,70%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4,04%</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0.16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0,97%</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XS3281861446</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BALANZ SHORT DURATION</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Corta Duración</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19,8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0,49%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-0,66%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-0,31%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0,86%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5,53%</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1.12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1,08%</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XS2707193509</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BALANZ FIXED INCOME LATAM</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Mercados Emergentes</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115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1,63%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-0,54%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1,25%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3,20%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7,42%</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3.04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1,37%</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XS2707193418</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BALANZ BALANCED</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Mixta Balanceado</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58,6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5,96%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-1,04%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0,07%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8,46%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7,93%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1,65%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XS3067937642</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BALANZ GLOBAL EQUITY</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Variable Global</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44,4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10,55%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-0,91%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1,74%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14,97%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11,31%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1,67%</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XS3146740496</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BALANZ CRYPTO</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Alternativos</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-8,48%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6,10%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50,23%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22,79%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-34,17%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2,25%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bl>
    <w:p>
      <w:pPr>
        <w:spacing w:after="0" w:before="60" w:line="240" w:lineRule="auto"/>
        <w:jc w:val="right"/>
      </w:pPr>
      <w:r>
        <w:rPr>
          <w:rFonts w:ascii="Aptos" w:hAnsi="Aptos"/>
          <w:b w:val="0"/>
          <w:color w:val="5D6E89"/>
          <w:sz w:val="14"/>
        </w:rPr>
        <w:t>Performance al 30/09/2026. 3Y y 5Y anualizados. Fuente Factsheet y Reuters.</w:t>
      </w:r>
    </w:p>
    <w:p>
      <w:r>
        <w:br w:type="page"/>
      </w:r>
    </w:p>
    <w:p>
      <w:pPr>
        <w:pStyle w:val="Heading1"/>
        <w:spacing w:before="0" w:after="100"/>
      </w:pPr>
      <w:r>
        <w:t>Mapa de fondos Renta Fija  1 de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2448"/>
        <w:gridCol w:w="1008"/>
        <w:gridCol w:w="792"/>
        <w:gridCol w:w="792"/>
        <w:gridCol w:w="792"/>
        <w:gridCol w:w="792"/>
        <w:gridCol w:w="792"/>
        <w:gridCol w:w="792"/>
        <w:gridCol w:w="720"/>
        <w:gridCol w:w="792"/>
        <w:gridCol w:w="2016"/>
      </w:tblGrid>
      <w:tr>
        <w:trPr>
          <w:tblHeader w:val="true"/>
        </w:trPr>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ISIN</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Fondo y clase</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Categoría</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Dur.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TER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Plataformas</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IE0003334947</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FEDERATED HERMES SHORT TERM U.S. GOVERNMENT SECURITIES "IGS"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LIQUIDEZ</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1.100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1,98%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0,23%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0,67%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1,33%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2,76%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3,70%</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0,06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1,04%</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IE00BMTRX064</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PIMCO US SHORT TERM "E"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ULTRA CORTA DURACIÓN</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3.700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2,58%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-0,08%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0,46%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1,79%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3,64%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5,06%</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0,68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0,85%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IE00BYWY0C98</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LORD ABBETT ULTRA SHORT BOND "A"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ULTRA CORTA DURACIÓN</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18.800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2,19%</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0,08%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0,64%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1,61%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3,28%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5,20%</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0,60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0,59%</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IE000FLB7EK2</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FTGF FRANKLIN ULTRA SHORT DURATION INCOME "A"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ULTRA CORTA DURACIÓN</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1.680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2,17%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0,01%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0,59%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1,54%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3,24%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4,41%</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0,59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0,60%</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IE00BFNWXY26</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LORD ABBETT SHORT DURATION INCOME FUND "A"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CORTA DURACIÓN</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53.200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0,24%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-0,95%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-0,56%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0,24%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6,00%</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2,00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1,08%</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IE00BF2T2K37</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MUZINICH ENHANCED YIELD SHORT TERM "P1" (USDHDG)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CORTA DURACIÓN</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8.310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0,52%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-1,00%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-0,71%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1,11%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1,58%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5,93%</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2,02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1,28%</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LU0219442893</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MFS MERIDIAN LIMITED MATURITY "A1"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CORTA DURACIÓN</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1.200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0,18%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-0,71%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-0,53%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0,06%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1,14%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5,10%</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1,90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1,14%</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LU0154237225</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BGF USD SHORT DURATION BOND "A2"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CORTA DURACIÓN</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1.186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0,19%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-0,83%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-0,51%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0,26%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1,44%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5,29%</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1,97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0,85%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IE00B7KFL990</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PIMCO INCOME "E"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INCOME</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121.700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-3,48%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-3,48%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-4,40%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-2,55%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7,42%</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6,77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1,45%</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IE00B87L2R26</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NEUBERGER STRATEGIC INCOME "A"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INCOME</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7.437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-3,00%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-3,21%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-3,69%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-2,37%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-1,88%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7,23%</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5,89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1,08%</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bl>
    <w:p>
      <w:pPr>
        <w:spacing w:after="0" w:before="60" w:line="240" w:lineRule="auto"/>
        <w:jc w:val="right"/>
      </w:pPr>
      <w:r>
        <w:rPr>
          <w:rFonts w:ascii="Aptos" w:hAnsi="Aptos"/>
          <w:b w:val="0"/>
          <w:color w:val="5D6E89"/>
          <w:sz w:val="14"/>
        </w:rPr>
        <w:t>Performance al 30/09/2026. 3Y y 5Y anualizados. Fuente Factsheet y Reuters.</w:t>
      </w:r>
    </w:p>
    <w:p>
      <w:r>
        <w:br w:type="page"/>
      </w:r>
    </w:p>
    <w:p>
      <w:pPr>
        <w:pStyle w:val="Heading1"/>
        <w:spacing w:before="0" w:after="100"/>
      </w:pPr>
      <w:r>
        <w:t>Mapa de fondos Renta Fija  2 de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2448"/>
        <w:gridCol w:w="1008"/>
        <w:gridCol w:w="792"/>
        <w:gridCol w:w="792"/>
        <w:gridCol w:w="792"/>
        <w:gridCol w:w="792"/>
        <w:gridCol w:w="792"/>
        <w:gridCol w:w="792"/>
        <w:gridCol w:w="720"/>
        <w:gridCol w:w="792"/>
        <w:gridCol w:w="2016"/>
      </w:tblGrid>
      <w:tr>
        <w:trPr>
          <w:tblHeader w:val="true"/>
        </w:trPr>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ISIN</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Fondo y clase</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Categoría</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Dur.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TER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Plataformas</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LU1737068558</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SCHRODER ISF GLOBAL CREDIT INCOME "A"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INCOME</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7.972</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-1,77%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-2,44%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-3,07%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-0,64%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-0,60%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6,80%</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5,20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1,40%</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LU2750480548</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WELLINGTON CREDIT TOTAL RETURN "D"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INCOME</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1.400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-2,73%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-2,48%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-3,30%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-2,10%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-2,32%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5,30%</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4,60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1,25%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LU0867954264</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JPM GLOBAL BOND OPPORTUNITIES "A"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INCOME</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4.866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-1,67%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-2,18%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-3,28%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0,01%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-0,64%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6,21%</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4,78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IE000ECPJMU8</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LORD ABBETT SHORT DURATION HIGH YIELD "A"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HIGH YIELD</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11.500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0,56%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-2,10%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-1,56%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1,45%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1,78%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8,90%</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2,50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IE00BK71B469</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BARINGS GLOBAL SENIOR SECURED BOND "A1"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HIGH YIELD</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3.201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0,16%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-1,98%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-1,34%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0,93%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1,26%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7,28%</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2,68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1,29%</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LU0131126228</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FRANKLIN HIGH YIELD "A"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HIGH YIELD</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1.250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-0,52%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-2,64%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-1,95%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0,00%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0,92%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8,07%</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3,05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1,51%</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IE00BDZRXR46</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NEUBERGER BERMAN SHORT DURATION EMERGING MARKET DEBT "A"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MERCADOS EMERGENTES</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5.465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0,70%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-1,64%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-1,17%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2,56%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5,88%</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2,57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1,06%</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LU0940382277</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BSF EMERGING MARKETS FLEXI DYNAMIC BOND "A2"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FIJA MERCADOS EMERGENTES</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1.539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0,33%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-2,39%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-2,30%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2,14%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3,95%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7,39%</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4,68%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1,78%</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LU0795632180</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SCHRODER ISF EMERGING MARKET BOND "A"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FIJA MERCADOS EMERGENTES</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2.303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-0,95%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-2,76%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-3,16%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1,70%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8,90%</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4,70%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1,29%</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bl>
    <w:p>
      <w:pPr>
        <w:spacing w:after="0" w:before="60" w:line="240" w:lineRule="auto"/>
        <w:jc w:val="right"/>
      </w:pPr>
      <w:r>
        <w:rPr>
          <w:rFonts w:ascii="Aptos" w:hAnsi="Aptos"/>
          <w:b w:val="0"/>
          <w:color w:val="5D6E89"/>
          <w:sz w:val="14"/>
        </w:rPr>
        <w:t>Performance al 30/09/2026. 3Y y 5Y anualizados. Fuente Factsheet y Reuters.</w:t>
      </w:r>
    </w:p>
    <w:p>
      <w:r>
        <w:br w:type="page"/>
      </w:r>
    </w:p>
    <w:p>
      <w:pPr>
        <w:pStyle w:val="Heading1"/>
        <w:spacing w:before="0" w:after="100"/>
      </w:pPr>
      <w:r>
        <w:t>Mapa de fondos Renta Mixta y Renta Variable  1 de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2448"/>
        <w:gridCol w:w="1008"/>
        <w:gridCol w:w="792"/>
        <w:gridCol w:w="792"/>
        <w:gridCol w:w="792"/>
        <w:gridCol w:w="792"/>
        <w:gridCol w:w="792"/>
        <w:gridCol w:w="792"/>
        <w:gridCol w:w="720"/>
        <w:gridCol w:w="792"/>
        <w:gridCol w:w="2016"/>
      </w:tblGrid>
      <w:tr>
        <w:trPr>
          <w:tblHeader w:val="true"/>
        </w:trPr>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ISIN</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Fondo y clase</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Categoría</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Dur.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TER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Plataformas</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IE000VKXOHZ8</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CALAMOS GROWTH AND INCOME "A"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MIXTA BALANCEADO</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378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10,64%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-0,44%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0,11%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15,38%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12,63%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IE00B4YYXB79</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PIMCO BALANCED INCOME AND GROWTH "E"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MIXTA BALANCEADO</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18.900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10,18%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-2,12%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0,29%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9,25%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15,06%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2,15%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IE0004445015</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JANUS HENDERSON BALANCED "A2"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MIXTA BALANCEADO</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11.590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2,53%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-1,74%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-0,68%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8,23%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3,85%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1,88%</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IE0005263466</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JUPITER MERIAN WORLD EQUITY "L"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GLOBAL</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2.945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12,42%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-2,19%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3,62%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19,37%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18,25%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1,65%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LU2864445049</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MFS MERIDIAN CONTRARIAN CAPITAL "A1"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VARIABLE GLOBAL</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1.300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12,13%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-5,13%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1,11%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10,60%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15,77%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1,85%</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IE00BFMHRM44</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NEUBERGER BERMAN GLOBAL EQUITY MEGATRENDS "A"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GLOBAL</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1.250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7,80%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-6,37%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2,22%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14,61%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6,86%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2,00%</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LU1084869962</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WELLINGTON GLOBAL QUALITY GROWTH "D"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VARIABLE GLOBAL</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7.200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6,76%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-1,58%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-2,16%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12,90%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10,09%</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1,65%</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LU0070217475</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JPM GLOBAL SELECT EQUITY "A"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GLOBAL</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6.899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5,76%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-1,13%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2,40%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12,06%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7,18%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1,80%</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IE0031385887</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JUPITER MERIAN NORTH AMERICAN EQUITY "L"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VARIABLE RENTA VARIABLE US</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367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14,80%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-2,66%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3,95%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21,79%</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19,55%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1,65%</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IE00B1BXHZ80</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FTGF PUTNAM US RESEARCH FUND "A"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RENTA VARIABLE US</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4.940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14,31%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-0,08%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2,76%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18,43%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17,70%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1,25%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bl>
    <w:p>
      <w:pPr>
        <w:spacing w:after="0" w:before="60" w:line="240" w:lineRule="auto"/>
        <w:jc w:val="right"/>
      </w:pPr>
      <w:r>
        <w:rPr>
          <w:rFonts w:ascii="Aptos" w:hAnsi="Aptos"/>
          <w:b w:val="0"/>
          <w:color w:val="5D6E89"/>
          <w:sz w:val="14"/>
        </w:rPr>
        <w:t>Performance al 30/09/2026. 3Y y 5Y anualizados. Fuente Factsheet y Reuters.</w:t>
      </w:r>
    </w:p>
    <w:p>
      <w:r>
        <w:br w:type="page"/>
      </w:r>
    </w:p>
    <w:p>
      <w:pPr>
        <w:pStyle w:val="Heading1"/>
        <w:spacing w:before="0" w:after="100"/>
      </w:pPr>
      <w:r>
        <w:t>Mapa de fondos Renta Mixta y Renta Variable  2 de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2448"/>
        <w:gridCol w:w="1008"/>
        <w:gridCol w:w="792"/>
        <w:gridCol w:w="792"/>
        <w:gridCol w:w="792"/>
        <w:gridCol w:w="792"/>
        <w:gridCol w:w="792"/>
        <w:gridCol w:w="792"/>
        <w:gridCol w:w="720"/>
        <w:gridCol w:w="792"/>
        <w:gridCol w:w="2016"/>
      </w:tblGrid>
      <w:tr>
        <w:trPr>
          <w:tblHeader w:val="true"/>
        </w:trPr>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ISIN</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Fondo y clase</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Categoría</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YTM</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Dur.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TER</w:t>
            </w:r>
          </w:p>
        </w:tc>
        <w:tc>
          <w:tcPr>
            <w:tcW w:type="dxa" w:w="1458"/>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Plataformas</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IE00B1D7YP71</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PIMCO STOCKS PLUS "E"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VARIABLE RENTA VARIABLE US</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6.900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11,38%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-0,89%</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1,50%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17,19%</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14,14%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1,45%</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LU0070214290</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JPM US SELECT EQUITY "A"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RENTA VARIABLE US</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7.582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4,63%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-0,45%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1,37%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16,05%</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5,80%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1,80%</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LU0109392836</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FRANKLIN TECHNOLOGY "A"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VARIABLE GROWTH</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15.430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30,59%</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5,88%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-1,17%</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41,45%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29,92%</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1,81%</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LU0070992663</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JANUS HENDERSON HORIZON GLOBAL TECHNOLOGY LEADERS "A2"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GROWTH</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8.110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29,39%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4,14%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-1,27%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40,24%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31,41%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1,89%</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BCV, 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LU0128526570</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TEMPLETON LATIN AMERICA "A"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VARIABLE MERCADOS EMERGENTES</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603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16,45%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1,55%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4,55%</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-1,28%</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23,11%</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2,26%</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LU0210535034</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JPM LATIN AMERICA EQUITY "A"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MERCADOS EMERGENTES</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562</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9,79%</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-0,24%</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1,40%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-1,31%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15,96%</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1,80%</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tcPr>
          <w:p>
            <w:pPr>
              <w:spacing w:after="0" w:line="240" w:lineRule="auto"/>
              <w:jc w:val="center"/>
            </w:pPr>
            <w:r>
              <w:rPr>
                <w:rFonts w:ascii="Aptos" w:hAnsi="Aptos"/>
                <w:b w:val="0"/>
                <w:color w:val="000000"/>
                <w:sz w:val="13"/>
              </w:rPr>
              <w:t>LU0496367417</w:t>
            </w:r>
          </w:p>
        </w:tc>
        <w:tc>
          <w:tcPr>
            <w:tcW w:type="dxa" w:w="4320"/>
            <w:vAlign w:val="center"/>
            <w:tcMar>
              <w:top w:w="55" w:type="dxa"/>
              <w:start w:w="70" w:type="dxa"/>
              <w:bottom w:w="55" w:type="dxa"/>
              <w:end w:w="70" w:type="dxa"/>
            </w:tcMar>
          </w:tcPr>
          <w:p>
            <w:pPr>
              <w:spacing w:after="0" w:line="240" w:lineRule="auto"/>
              <w:jc w:val="left"/>
            </w:pPr>
            <w:r>
              <w:rPr>
                <w:rFonts w:ascii="Aptos" w:hAnsi="Aptos"/>
                <w:b/>
                <w:color w:val="000000"/>
                <w:sz w:val="13"/>
              </w:rPr>
              <w:t>FRANKLIN GOLD &amp; PRECIOUS METALS "A" (USD) ACC</w:t>
            </w:r>
          </w:p>
        </w:tc>
        <w:tc>
          <w:tcPr>
            <w:tcW w:type="dxa" w:w="2448"/>
            <w:vAlign w:val="center"/>
            <w:tcMar>
              <w:top w:w="55" w:type="dxa"/>
              <w:start w:w="70" w:type="dxa"/>
              <w:bottom w:w="55" w:type="dxa"/>
              <w:end w:w="70" w:type="dxa"/>
            </w:tcMar>
          </w:tcPr>
          <w:p>
            <w:pPr>
              <w:spacing w:after="0" w:line="240" w:lineRule="auto"/>
              <w:jc w:val="left"/>
            </w:pPr>
            <w:r>
              <w:rPr>
                <w:rFonts w:ascii="Aptos" w:hAnsi="Aptos"/>
                <w:b w:val="0"/>
                <w:color w:val="000000"/>
                <w:sz w:val="13"/>
              </w:rPr>
              <w:t>RENTA VARIABLE COMMODITIES</w:t>
            </w:r>
          </w:p>
        </w:tc>
        <w:tc>
          <w:tcPr>
            <w:tcW w:type="dxa" w:w="1008"/>
            <w:vAlign w:val="center"/>
            <w:tcMar>
              <w:top w:w="55" w:type="dxa"/>
              <w:start w:w="70" w:type="dxa"/>
              <w:bottom w:w="55" w:type="dxa"/>
              <w:end w:w="70" w:type="dxa"/>
            </w:tcMar>
          </w:tcPr>
          <w:p>
            <w:pPr>
              <w:spacing w:after="0" w:line="240" w:lineRule="auto"/>
              <w:jc w:val="center"/>
            </w:pPr>
            <w:r>
              <w:rPr>
                <w:rFonts w:ascii="Aptos" w:hAnsi="Aptos"/>
                <w:b w:val="0"/>
                <w:color w:val="000000"/>
                <w:sz w:val="13"/>
              </w:rPr>
              <w:t>2.140</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3,53%</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-10,06%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15,34%</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-2,06%</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25,82%</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tcPr>
          <w:p>
            <w:pPr>
              <w:spacing w:after="0" w:line="240" w:lineRule="auto"/>
              <w:jc w:val="center"/>
            </w:pPr>
            <w:r>
              <w:rPr>
                <w:rFonts w:ascii="Aptos" w:hAnsi="Aptos"/>
                <w:b w:val="0"/>
                <w:color w:val="000000"/>
                <w:sz w:val="13"/>
              </w:rPr>
              <w:t>1,81%</w:t>
            </w:r>
          </w:p>
        </w:tc>
        <w:tc>
          <w:tcPr>
            <w:tcW w:type="dxa" w:w="2016"/>
            <w:vAlign w:val="center"/>
            <w:tcMar>
              <w:top w:w="55" w:type="dxa"/>
              <w:start w:w="70" w:type="dxa"/>
              <w:bottom w:w="55" w:type="dxa"/>
              <w:end w:w="70" w:type="dxa"/>
            </w:tcMar>
          </w:tcPr>
          <w:p>
            <w:pPr>
              <w:spacing w:after="0" w:line="240" w:lineRule="auto"/>
              <w:jc w:val="center"/>
            </w:pPr>
            <w:r>
              <w:rPr>
                <w:rFonts w:ascii="Aptos" w:hAnsi="Aptos"/>
                <w:b w:val="0"/>
                <w:color w:val="000000"/>
                <w:sz w:val="13"/>
              </w:rPr>
              <w:t>BCI, Stonex, Pershing</w:t>
            </w:r>
          </w:p>
        </w:tc>
      </w:tr>
      <w:tr>
        <w:tc>
          <w:tcPr>
            <w:tcW w:type="dxa" w:w="165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IE00BYVJR809</w:t>
            </w:r>
          </w:p>
        </w:tc>
        <w:tc>
          <w:tcPr>
            <w:tcW w:type="dxa" w:w="4320"/>
            <w:vAlign w:val="center"/>
            <w:tcMar>
              <w:top w:w="55" w:type="dxa"/>
              <w:start w:w="70" w:type="dxa"/>
              <w:bottom w:w="55" w:type="dxa"/>
              <w:end w:w="70" w:type="dxa"/>
            </w:tcMar>
            <w:shd w:fill="F5F8FC"/>
          </w:tcPr>
          <w:p>
            <w:pPr>
              <w:spacing w:after="0" w:line="240" w:lineRule="auto"/>
              <w:jc w:val="left"/>
            </w:pPr>
            <w:r>
              <w:rPr>
                <w:rFonts w:ascii="Aptos" w:hAnsi="Aptos"/>
                <w:b/>
                <w:color w:val="000000"/>
                <w:sz w:val="13"/>
              </w:rPr>
              <w:t>JUPITER GOLD &amp; SILVER FUND L USD ACC</w:t>
            </w:r>
          </w:p>
        </w:tc>
        <w:tc>
          <w:tcPr>
            <w:tcW w:type="dxa" w:w="2448"/>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3"/>
              </w:rPr>
              <w:t>RENTA VARIABLE COMMODITIES</w:t>
            </w:r>
          </w:p>
        </w:tc>
        <w:tc>
          <w:tcPr>
            <w:tcW w:type="dxa" w:w="1008"/>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3.467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-2,88%</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-13,23%</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17,10%</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2,51%</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22,47%</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20"/>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w:t>
            </w:r>
          </w:p>
        </w:tc>
        <w:tc>
          <w:tcPr>
            <w:tcW w:type="dxa" w:w="792"/>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1,75%</w:t>
            </w:r>
          </w:p>
        </w:tc>
        <w:tc>
          <w:tcPr>
            <w:tcW w:type="dxa" w:w="2016"/>
            <w:vAlign w:val="center"/>
            <w:tcMar>
              <w:top w:w="55" w:type="dxa"/>
              <w:start w:w="70" w:type="dxa"/>
              <w:bottom w:w="55" w:type="dxa"/>
              <w:end w:w="70" w:type="dxa"/>
            </w:tcMar>
            <w:shd w:fill="F5F8FC"/>
          </w:tcPr>
          <w:p>
            <w:pPr>
              <w:spacing w:after="0" w:line="240" w:lineRule="auto"/>
              <w:jc w:val="center"/>
            </w:pPr>
            <w:r>
              <w:rPr>
                <w:rFonts w:ascii="Aptos" w:hAnsi="Aptos"/>
                <w:b w:val="0"/>
                <w:color w:val="000000"/>
                <w:sz w:val="13"/>
              </w:rPr>
              <w:t>BCI, Stonex, Pershing</w:t>
            </w:r>
          </w:p>
        </w:tc>
      </w:tr>
    </w:tbl>
    <w:p>
      <w:pPr>
        <w:spacing w:after="0" w:before="60" w:line="240" w:lineRule="auto"/>
        <w:jc w:val="right"/>
      </w:pPr>
      <w:r>
        <w:rPr>
          <w:rFonts w:ascii="Aptos" w:hAnsi="Aptos"/>
          <w:b w:val="0"/>
          <w:color w:val="5D6E89"/>
          <w:sz w:val="14"/>
        </w:rPr>
        <w:t>Performance al 30/09/2026. 3Y y 5Y anualizados. Fuente Factsheet y Reuters.</w:t>
      </w:r>
    </w:p>
    <w:p>
      <w:r>
        <w:br w:type="page"/>
      </w:r>
    </w:p>
    <w:p>
      <w:pPr>
        <w:spacing w:after="20"/>
      </w:pPr>
      <w:r>
        <w:rPr>
          <w:rFonts w:ascii="Aptos" w:hAnsi="Aptos"/>
          <w:b/>
          <w:color w:val="2864FF"/>
          <w:sz w:val="16"/>
        </w:rPr>
        <w:t>PRODUCTOS BALANZ  ·  RENTA FIJA LIQUIDEZ / MONEY MARKET</w:t>
      </w:r>
    </w:p>
    <w:p>
      <w:pPr>
        <w:pStyle w:val="Heading1"/>
        <w:spacing w:before="0" w:after="20"/>
      </w:pPr>
      <w:r>
        <w:rPr>
          <w:rFonts w:ascii="Aptos" w:hAnsi="Aptos"/>
          <w:b/>
          <w:color w:val="000000"/>
          <w:sz w:val="30"/>
        </w:rPr>
        <w:t>BALANZ INCOME</w:t>
      </w:r>
    </w:p>
    <w:p>
      <w:pPr>
        <w:spacing w:after="80"/>
      </w:pPr>
      <w:r>
        <w:rPr>
          <w:rFonts w:ascii="Aptos" w:hAnsi="Aptos"/>
          <w:b w:val="0"/>
          <w:color w:val="5D6E89"/>
          <w:sz w:val="15"/>
        </w:rPr>
        <w:t>ISIN XS2621330369    |    Renta Fija Liquidez / Money Market</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la preservación de capital invirtiendo en instrumentos de renta fija, principalmente bonos del Tesoro de Estados Unidos. Está orientado a personas físicas y jurídicas de perfil conservador que buscan un instrumento gestionado activamente por especialistas del mercado internacional.</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97,3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1,95%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0,21%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0,66%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1,32%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2,70%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4,04%</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0.16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0,97%</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Renta Fija Liquidez / Money Market</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Duración de cartera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0-30 días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31-60 días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32,6%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61-90 días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34,6%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Efectivo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US Treasury Bill 29-DIC-2026</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34,6%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US Treasury Bill 29-OCT-2026</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32,6%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US Treasury Bill 03-DIC-2026</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efectivo y equivalentes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100%</w:t>
                  </w:r>
                </w:p>
              </w:tc>
            </w:tr>
          </w:tbl>
          <w:p/>
          <w:p>
            <w:pPr>
              <w:spacing w:after="0"/>
            </w:pPr>
          </w:p>
        </w:tc>
      </w:tr>
    </w:tbl>
    <w:p>
      <w:pPr>
        <w:spacing w:after="0" w:before="40" w:line="240" w:lineRule="auto"/>
        <w:jc w:val="right"/>
      </w:pPr>
      <w:r>
        <w:rPr>
          <w:rFonts w:ascii="Aptos" w:hAnsi="Aptos"/>
          <w:b w:val="0"/>
          <w:color w:val="5D6E89"/>
          <w:sz w:val="13"/>
        </w:rPr>
        <w:t>Fuente Factsheet y Reuters  |  Composición al 30/09/2026</w:t>
      </w:r>
    </w:p>
    <w:p>
      <w:r>
        <w:br w:type="page"/>
      </w:r>
    </w:p>
    <w:p>
      <w:pPr>
        <w:spacing w:after="20"/>
      </w:pPr>
      <w:r>
        <w:rPr>
          <w:rFonts w:ascii="Aptos" w:hAnsi="Aptos"/>
          <w:b/>
          <w:color w:val="2864FF"/>
          <w:sz w:val="16"/>
        </w:rPr>
        <w:t>PRODUCTOS BALANZ  ·  RENTA FIJA CORTA DURACIÓN</w:t>
      </w:r>
    </w:p>
    <w:p>
      <w:pPr>
        <w:pStyle w:val="Heading1"/>
        <w:spacing w:before="0" w:after="20"/>
      </w:pPr>
      <w:r>
        <w:rPr>
          <w:rFonts w:ascii="Aptos" w:hAnsi="Aptos"/>
          <w:b/>
          <w:color w:val="000000"/>
          <w:sz w:val="30"/>
        </w:rPr>
        <w:t>BALANZ SHORT DURATION</w:t>
      </w:r>
    </w:p>
    <w:p>
      <w:pPr>
        <w:spacing w:after="80"/>
      </w:pPr>
      <w:r>
        <w:rPr>
          <w:rFonts w:ascii="Aptos" w:hAnsi="Aptos"/>
          <w:b w:val="0"/>
          <w:color w:val="5D6E89"/>
          <w:sz w:val="15"/>
        </w:rPr>
        <w:t>ISIN XS3281861446    |    Renta Fija Corta Duración</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retorno con foco en preservación de capital mediante una cartera diversificada de renta fija de corta duración. Prioriza alta calidad crediticia y complementa selectivamente con instrumentos de mayor rendimiento para mejorar el retorno ajustado por riesgo. Gestión activa orientada a capturar carry en distintos segmentos.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19,8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0,49%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-0,66%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-0,31%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0,86%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5,53%</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1.12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1,08%</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Renta Fija Corta Duración</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Duración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0-1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1-2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2-3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Región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Europa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mercados emergentes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exposiciones informadas como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T-Bills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deuda corporativa global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deuda securitizada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bonos corporativos US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mercados emergentes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 y equivalentes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w:t>
                  </w:r>
                </w:p>
              </w:tc>
            </w:tr>
          </w:tbl>
          <w:p/>
          <w:p>
            <w:pPr>
              <w:spacing w:after="0"/>
            </w:pPr>
          </w:p>
        </w:tc>
      </w:tr>
    </w:tbl>
    <w:p>
      <w:pPr>
        <w:spacing w:after="0" w:before="40" w:line="240" w:lineRule="auto"/>
        <w:jc w:val="left"/>
      </w:pPr>
      <w:r>
        <w:rPr>
          <w:rFonts w:ascii="Aptos" w:hAnsi="Aptos"/>
          <w:b w:val="0"/>
          <w:color w:val="5D6E89"/>
          <w:sz w:val="13"/>
        </w:rPr>
        <w:t>Nota de fuente: el factsheet no identifica emisores individuales.</w:t>
      </w:r>
    </w:p>
    <w:p>
      <w:pPr>
        <w:spacing w:after="0" w:before="40" w:line="240" w:lineRule="auto"/>
        <w:jc w:val="right"/>
      </w:pPr>
      <w:r>
        <w:rPr>
          <w:rFonts w:ascii="Aptos" w:hAnsi="Aptos"/>
          <w:b w:val="0"/>
          <w:color w:val="5D6E89"/>
          <w:sz w:val="13"/>
        </w:rPr>
        <w:t>Fuente Factsheet y Reuters  |  Composición al 30/09/2026</w:t>
      </w:r>
    </w:p>
    <w:p>
      <w:r>
        <w:br w:type="page"/>
      </w:r>
    </w:p>
    <w:p>
      <w:pPr>
        <w:spacing w:after="20"/>
      </w:pPr>
      <w:r>
        <w:rPr>
          <w:rFonts w:ascii="Aptos" w:hAnsi="Aptos"/>
          <w:b/>
          <w:color w:val="2864FF"/>
          <w:sz w:val="16"/>
        </w:rPr>
        <w:t>PRODUCTOS BALANZ  ·  RENTA FIJA MERCADOS EMERGENTES</w:t>
      </w:r>
    </w:p>
    <w:p>
      <w:pPr>
        <w:pStyle w:val="Heading1"/>
        <w:spacing w:before="0" w:after="20"/>
      </w:pPr>
      <w:r>
        <w:rPr>
          <w:rFonts w:ascii="Aptos" w:hAnsi="Aptos"/>
          <w:b/>
          <w:color w:val="000000"/>
          <w:sz w:val="30"/>
        </w:rPr>
        <w:t>BALANZ FIXED INCOME LATAM</w:t>
      </w:r>
    </w:p>
    <w:p>
      <w:pPr>
        <w:spacing w:after="80"/>
      </w:pPr>
      <w:r>
        <w:rPr>
          <w:rFonts w:ascii="Aptos" w:hAnsi="Aptos"/>
          <w:b w:val="0"/>
          <w:color w:val="5D6E89"/>
          <w:sz w:val="15"/>
        </w:rPr>
        <w:t>ISIN XS2707193509    |    Renta Fija Mercados Emergentes</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retorno mediante instrumentos de renta fija latinoamericana, principalmente bonos en dólares estadounidenses emitidos por empresas o entidades establecidas en la región o con la mayor parte de sus actividades o ingresos allí. Puede combinar bonos de alta calidad y alto rendimiento con distintos vencimientos.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1,63%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-1,45%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-0,54%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3,20%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7,42%</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3.04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1,00%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1,37%</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Renta Fija Mercados Emergentes</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Composición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bonos corporativos LatAm</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liquidez / US Treasuries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Países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Brasil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México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Colombia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Perú</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Chile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servicios 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metales y minería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alimentos y tabaco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aerolíneas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transporte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materiales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emisores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Ecopetrol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Karoon Energy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Volcan Compañía Minera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Samarco Mineração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AI Candelaria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MC Brazil Downstream</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Saavi 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EnfraGen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Açu Petróleo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Engie Energía Chile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w:t>
                  </w:r>
                </w:p>
              </w:tc>
            </w:tr>
          </w:tbl>
          <w:p/>
          <w:p>
            <w:pPr>
              <w:spacing w:after="0"/>
            </w:pPr>
          </w:p>
        </w:tc>
      </w:tr>
    </w:tbl>
    <w:p>
      <w:pPr>
        <w:spacing w:after="0" w:before="40" w:line="240" w:lineRule="auto"/>
        <w:jc w:val="right"/>
      </w:pPr>
      <w:r>
        <w:rPr>
          <w:rFonts w:ascii="Aptos" w:hAnsi="Aptos"/>
          <w:b w:val="0"/>
          <w:color w:val="5D6E89"/>
          <w:sz w:val="13"/>
        </w:rPr>
        <w:t>Fuente Factsheet y Reuters  |  Composición al 30/09/2026</w:t>
      </w:r>
    </w:p>
    <w:p>
      <w:r>
        <w:br w:type="page"/>
      </w:r>
    </w:p>
    <w:p>
      <w:pPr>
        <w:spacing w:after="20"/>
      </w:pPr>
      <w:r>
        <w:rPr>
          <w:rFonts w:ascii="Aptos" w:hAnsi="Aptos"/>
          <w:b/>
          <w:color w:val="2864FF"/>
          <w:sz w:val="16"/>
        </w:rPr>
        <w:t>PRODUCTOS BALANZ  ·  RENTA MIXTA BALANCEADO</w:t>
      </w:r>
    </w:p>
    <w:p>
      <w:pPr>
        <w:pStyle w:val="Heading1"/>
        <w:spacing w:before="0" w:after="20"/>
      </w:pPr>
      <w:r>
        <w:rPr>
          <w:rFonts w:ascii="Aptos" w:hAnsi="Aptos"/>
          <w:b/>
          <w:color w:val="000000"/>
          <w:sz w:val="30"/>
        </w:rPr>
        <w:t>BALANZ BALANCED</w:t>
      </w:r>
    </w:p>
    <w:p>
      <w:pPr>
        <w:spacing w:after="80"/>
      </w:pPr>
      <w:r>
        <w:rPr>
          <w:rFonts w:ascii="Aptos" w:hAnsi="Aptos"/>
          <w:b w:val="0"/>
          <w:color w:val="5D6E89"/>
          <w:sz w:val="15"/>
        </w:rPr>
        <w:t>ISIN XS2707193418    |    Renta Mixta Balanceado</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retorno a mediano plazo mediante crecimiento de capital e ingresos, con asignación dinámica y diversificada. Según la estrategia del comité y las condiciones de mercado, puede invertir tanto en renta variable como en renta fija.</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58,6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5,96%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-1,04%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0,07%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8,46%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7,93%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1,25%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1,65%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Renta Mixta Balanceado</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75"/>
        <w:gridCol w:w="9475"/>
      </w:tblGrid>
      <w:tr>
        <w:tc>
          <w:tcPr>
            <w:tcW w:type="dxa" w:w="9360"/>
            <w:tcMar>
              <w:top w:w="30" w:type="dxa"/>
              <w:start w:w="40" w:type="dxa"/>
              <w:bottom w:w="30" w:type="dxa"/>
              <w:end w:w="40" w:type="dxa"/>
            </w:tcMar>
          </w:tcPr>
          <w:p>
            <w:pPr>
              <w:spacing w:after="40"/>
            </w:pPr>
            <w:r>
              <w:rPr>
                <w:rFonts w:ascii="Aptos" w:hAnsi="Aptos"/>
                <w:b/>
                <w:color w:val="2864FF"/>
                <w:sz w:val="16"/>
              </w:rPr>
              <w:t>Composición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renta variable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56%</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renta fija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44%</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efectivo y equivalentes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w:t>
                  </w:r>
                </w:p>
              </w:tc>
            </w:tr>
          </w:tbl>
          <w:p/>
          <w:p>
            <w:pPr>
              <w:spacing w:after="0"/>
            </w:pPr>
          </w:p>
        </w:tc>
        <w:tc>
          <w:tcPr>
            <w:tcW w:type="dxa" w:w="9360"/>
            <w:tcMar>
              <w:top w:w="30" w:type="dxa"/>
              <w:start w:w="40" w:type="dxa"/>
              <w:bottom w:w="30" w:type="dxa"/>
              <w:end w:w="40" w:type="dxa"/>
            </w:tcMar>
          </w:tcPr>
          <w:p>
            <w:pPr>
              <w:spacing w:after="40"/>
            </w:pPr>
            <w:r>
              <w:rPr>
                <w:rFonts w:ascii="Aptos" w:hAnsi="Aptos"/>
                <w:b/>
                <w:color w:val="2864FF"/>
                <w:sz w:val="16"/>
              </w:rPr>
              <w:t>Principales tenencias y exposiciones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T-Bills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31,4%</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deuda grado de inversión US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10,0%</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4,5%</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3,9%</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deuda securitizada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Meta Platforms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w:t>
                  </w:r>
                </w:p>
              </w:tc>
            </w:tr>
          </w:tbl>
          <w:p/>
          <w:p>
            <w:pPr>
              <w:spacing w:after="0"/>
            </w:pPr>
          </w:p>
        </w:tc>
      </w:tr>
    </w:tbl>
    <w:p>
      <w:pPr>
        <w:spacing w:after="0" w:before="40" w:line="240" w:lineRule="auto"/>
        <w:jc w:val="right"/>
      </w:pPr>
      <w:r>
        <w:rPr>
          <w:rFonts w:ascii="Aptos" w:hAnsi="Aptos"/>
          <w:b w:val="0"/>
          <w:color w:val="5D6E89"/>
          <w:sz w:val="13"/>
        </w:rPr>
        <w:t>Fuente Factsheet y Reuters  |  Composición al 30/09/2026</w:t>
      </w:r>
    </w:p>
    <w:p>
      <w:r>
        <w:br w:type="page"/>
      </w:r>
    </w:p>
    <w:p>
      <w:pPr>
        <w:spacing w:after="20"/>
      </w:pPr>
      <w:r>
        <w:rPr>
          <w:rFonts w:ascii="Aptos" w:hAnsi="Aptos"/>
          <w:b/>
          <w:color w:val="2864FF"/>
          <w:sz w:val="16"/>
        </w:rPr>
        <w:t>PRODUCTOS BALANZ  ·  RENTA VARIABLE GLOBAL</w:t>
      </w:r>
    </w:p>
    <w:p>
      <w:pPr>
        <w:pStyle w:val="Heading1"/>
        <w:spacing w:before="0" w:after="20"/>
      </w:pPr>
      <w:r>
        <w:rPr>
          <w:rFonts w:ascii="Aptos" w:hAnsi="Aptos"/>
          <w:b/>
          <w:color w:val="000000"/>
          <w:sz w:val="30"/>
        </w:rPr>
        <w:t>BALANZ GLOBAL EQUITY</w:t>
      </w:r>
    </w:p>
    <w:p>
      <w:pPr>
        <w:spacing w:after="80"/>
      </w:pPr>
      <w:r>
        <w:rPr>
          <w:rFonts w:ascii="Aptos" w:hAnsi="Aptos"/>
          <w:b w:val="0"/>
          <w:color w:val="5D6E89"/>
          <w:sz w:val="15"/>
        </w:rPr>
        <w:t>ISIN XS3067937642    |    Renta Variable Global</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maximizar el crecimiento de capital a largo plazo mediante una cartera diversificada, principalmente de acciones de empresas líderes globales seleccionadas por crecimiento y solidez financiera. Utiliza selección activa y asignación geográfica flexible.</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44,4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10,55%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-0,91%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14,97%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11,31%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1,25%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1,67%</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Renta Variable Global</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75"/>
        <w:gridCol w:w="9475"/>
      </w:tblGrid>
      <w:tr>
        <w:tc>
          <w:tcPr>
            <w:tcW w:type="dxa" w:w="936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38%</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servicios 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servicios de comunicación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materiales básicos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w:t>
                  </w:r>
                </w:p>
              </w:tc>
            </w:tr>
          </w:tbl>
          <w:p/>
          <w:p>
            <w:pPr>
              <w:spacing w:after="0"/>
            </w:pPr>
          </w:p>
        </w:tc>
        <w:tc>
          <w:tcPr>
            <w:tcW w:type="dxa" w:w="936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7,5%</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6,7%</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5,2%</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5,0%</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3,4%</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Meta Platforms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Micron Technology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Advanced Micro Devices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Tesla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w:t>
                  </w:r>
                </w:p>
              </w:tc>
            </w:tr>
          </w:tbl>
          <w:p/>
          <w:p>
            <w:pPr>
              <w:spacing w:after="0"/>
            </w:pPr>
          </w:p>
        </w:tc>
      </w:tr>
    </w:tbl>
    <w:p>
      <w:pPr>
        <w:spacing w:after="0" w:before="40" w:line="240" w:lineRule="auto"/>
        <w:jc w:val="left"/>
      </w:pPr>
      <w:r>
        <w:rPr>
          <w:rFonts w:ascii="Aptos" w:hAnsi="Aptos"/>
          <w:b w:val="0"/>
          <w:color w:val="5D6E89"/>
          <w:sz w:val="13"/>
        </w:rPr>
        <w:t>Nota de fuente: no informa cantidad total de tenencias ni distribución geográfica cuantitativa.</w:t>
      </w:r>
    </w:p>
    <w:p>
      <w:pPr>
        <w:spacing w:after="0" w:before="40" w:line="240" w:lineRule="auto"/>
        <w:jc w:val="right"/>
      </w:pPr>
      <w:r>
        <w:rPr>
          <w:rFonts w:ascii="Aptos" w:hAnsi="Aptos"/>
          <w:b w:val="0"/>
          <w:color w:val="5D6E89"/>
          <w:sz w:val="13"/>
        </w:rPr>
        <w:t>Fuente Factsheet y Reuters  |  Composición al 30/09/2026</w:t>
      </w:r>
    </w:p>
    <w:p>
      <w:r>
        <w:br w:type="page"/>
      </w:r>
    </w:p>
    <w:p>
      <w:pPr>
        <w:spacing w:after="20"/>
      </w:pPr>
      <w:r>
        <w:rPr>
          <w:rFonts w:ascii="Aptos" w:hAnsi="Aptos"/>
          <w:b/>
          <w:color w:val="2864FF"/>
          <w:sz w:val="16"/>
        </w:rPr>
        <w:t>PRODUCTOS BALANZ  ·  RENTA VARIABLE ALTERNATIVOS</w:t>
      </w:r>
    </w:p>
    <w:p>
      <w:pPr>
        <w:pStyle w:val="Heading1"/>
        <w:spacing w:before="0" w:after="20"/>
      </w:pPr>
      <w:r>
        <w:rPr>
          <w:rFonts w:ascii="Aptos" w:hAnsi="Aptos"/>
          <w:b/>
          <w:color w:val="000000"/>
          <w:sz w:val="30"/>
        </w:rPr>
        <w:t>BALANZ CRYPTO</w:t>
      </w:r>
    </w:p>
    <w:p>
      <w:pPr>
        <w:spacing w:after="80"/>
      </w:pPr>
      <w:r>
        <w:rPr>
          <w:rFonts w:ascii="Aptos" w:hAnsi="Aptos"/>
          <w:b w:val="0"/>
          <w:color w:val="5D6E89"/>
          <w:sz w:val="15"/>
        </w:rPr>
        <w:t>ISIN XS3146740496    |    Renta Variable Alternativos</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brinda exposición diversificada al ecosistema cripto mediante activos digitales y acciones de empresas relevantes. Combina exposición a redes blockchain con compañías que impulsan su adopción o se benefician indirectamente de la valorización del ecosistema, con selección activa y asignación temática.</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-8,48%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6,10%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50,23%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22,79%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-34,17%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2,25%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Renta Variable Alternativos</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75"/>
        <w:gridCol w:w="9475"/>
      </w:tblGrid>
      <w:tr>
        <w:tc>
          <w:tcPr>
            <w:tcW w:type="dxa" w:w="936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iShares Bitcoin Trust ETF</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61,9%</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iShares Ethereum Trust ETF</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29,2%</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BitMine Immersion Technologies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4,0%</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Strategy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Circle Internet Group</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Robinhood Markets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Coinbase Global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w:t>
                  </w:r>
                </w:p>
              </w:tc>
            </w:tr>
          </w:tbl>
          <w:p/>
          <w:p>
            <w:pPr>
              <w:spacing w:after="0"/>
            </w:pPr>
          </w:p>
        </w:tc>
        <w:tc>
          <w:tcPr>
            <w:tcW w:type="dxa" w:w="9360"/>
            <w:tcMar>
              <w:top w:w="30" w:type="dxa"/>
              <w:start w:w="40" w:type="dxa"/>
              <w:bottom w:w="30" w:type="dxa"/>
              <w:end w:w="40" w:type="dxa"/>
            </w:tcMar>
          </w:tcPr>
          <w:p>
            <w:pPr>
              <w:spacing w:after="40"/>
            </w:pPr>
            <w:r>
              <w:rPr>
                <w:rFonts w:ascii="Aptos" w:hAnsi="Aptos"/>
                <w:b/>
                <w:color w:val="2864FF"/>
                <w:sz w:val="16"/>
              </w:rPr>
              <w:t>Composición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criptoactivos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91%</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empresas de reserva estratégica cripto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empresas de servicios cripto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w:t>
                  </w:r>
                </w:p>
              </w:tc>
            </w:tr>
          </w:tbl>
          <w:p/>
          <w:p>
            <w:pPr>
              <w:spacing w:after="0"/>
            </w:pPr>
          </w:p>
        </w:tc>
      </w:tr>
    </w:tbl>
    <w:p>
      <w:pPr>
        <w:spacing w:after="0" w:before="40" w:line="240" w:lineRule="auto"/>
        <w:jc w:val="right"/>
      </w:pPr>
      <w:r>
        <w:rPr>
          <w:rFonts w:ascii="Aptos" w:hAnsi="Aptos"/>
          <w:b w:val="0"/>
          <w:color w:val="5D6E89"/>
          <w:sz w:val="13"/>
        </w:rPr>
        <w:t>Fuente Factsheet y Reuters  |  Composición al 30/09/2026</w:t>
      </w:r>
    </w:p>
    <w:p>
      <w:r>
        <w:br w:type="page"/>
      </w:r>
    </w:p>
    <w:p>
      <w:pPr>
        <w:spacing w:after="20"/>
      </w:pPr>
      <w:r>
        <w:rPr>
          <w:rFonts w:ascii="Aptos" w:hAnsi="Aptos"/>
          <w:b/>
          <w:color w:val="2864FF"/>
          <w:sz w:val="16"/>
        </w:rPr>
        <w:t>RENTA FIJA LIQUIDEZ</w:t>
      </w:r>
    </w:p>
    <w:p>
      <w:pPr>
        <w:pStyle w:val="Heading1"/>
        <w:spacing w:before="0" w:after="20"/>
      </w:pPr>
      <w:r>
        <w:rPr>
          <w:rFonts w:ascii="Aptos" w:hAnsi="Aptos"/>
          <w:b/>
          <w:color w:val="000000"/>
          <w:sz w:val="30"/>
        </w:rPr>
        <w:t>FEDERATED HERMES SHORT TERM U.S. GOVERNMENT SECURITIES "IGS" (USD) ACC</w:t>
      </w:r>
    </w:p>
    <w:p>
      <w:pPr>
        <w:spacing w:after="80"/>
      </w:pPr>
      <w:r>
        <w:rPr>
          <w:rFonts w:ascii="Aptos" w:hAnsi="Aptos"/>
          <w:b w:val="0"/>
          <w:color w:val="5D6E89"/>
          <w:sz w:val="15"/>
        </w:rPr>
        <w:t>ISIN IE0003334947    |    MM - Short Term Money Market USD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generar ingreso corriente preservando la estabilidad del capital y la liquidez. Invierte en valores de corto plazo y alta calidad del Tesoro y agencias del Gobierno de EE. UU., incluidos repos totalmente colateralizados. WAM máxima de 60 días y WAL máxima de 120 días; vencimiento residual legal de los instrumentos de hasta 397 días.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1,98%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0,23%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0,67%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1,33%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2,76%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3,54%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2,89%</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3,70%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0,06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1,04%</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MM - Short Term Money Market USD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Composición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Repos sobre Treasuries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63,0%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Repos sobre agencias del Gobierno de EE. UU.</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Deuda del Tesoro de 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Deuda de agencias del Gobierno de EE. UU.</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3,0%</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Vencimiento efectivo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1 día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87,2%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8-30 días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31-90 días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91-180 días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181-365 días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366-397 días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Liquidez</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Liquidez diaria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85,79%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Liquidez semanal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97,55%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WAM</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 días</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WAL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 días</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ULTRA CORTA DURACIÓN</w:t>
      </w:r>
    </w:p>
    <w:p>
      <w:pPr>
        <w:pStyle w:val="Heading1"/>
        <w:spacing w:before="0" w:after="20"/>
      </w:pPr>
      <w:r>
        <w:rPr>
          <w:rFonts w:ascii="Aptos" w:hAnsi="Aptos"/>
          <w:b/>
          <w:color w:val="000000"/>
          <w:sz w:val="30"/>
        </w:rPr>
        <w:t>PIMCO US SHORT TERM "E" (USD) ACC</w:t>
      </w:r>
    </w:p>
    <w:p>
      <w:pPr>
        <w:spacing w:after="80"/>
      </w:pPr>
      <w:r>
        <w:rPr>
          <w:rFonts w:ascii="Aptos" w:hAnsi="Aptos"/>
          <w:b w:val="0"/>
          <w:color w:val="5D6E89"/>
          <w:sz w:val="15"/>
        </w:rPr>
        <w:t>ISIN IE00BMTRX064    |    FI - Ultra Short</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mejorar el rendimiento frente al efectivo tradicional con un aumento moderado del riesgo, preservación de capital y liquidez diaria. Estrategia activa de corta duración que invierte principalmente en instrumentos monetarios de alta calidad y renta fija de corto plazo dentro de un universo global.</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3.700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-0,08%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0,46%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3,64%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4,65%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3,40%</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5,06%</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0,68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0,38%</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0,85%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Ultra Short</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Asignación sectorial (GMV)</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Crédito investment grade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45,5%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Government related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Agency 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 y equivalentes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Non-US RMBS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Mercados emergentes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Crédito high yield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Bank loans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Distribución por vencimiento (% de valor de mercado)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0-1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53,3%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1-3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48,4%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5-10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10-20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más de 20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-0,7%</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industrias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bancos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utilities eléctricas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automotriz</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otros 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seguros de vida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captive consumer finance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wirelines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pipelines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E&amp;P independiente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Exposición de duración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menos de 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28,6%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1-3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120,8%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28,2%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5-10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-76,5%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10-20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más de 20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w:t>
                  </w:r>
                </w:p>
              </w:tc>
            </w:tr>
          </w:tbl>
          <w:p/>
          <w:p>
            <w:pPr>
              <w:spacing w:after="0"/>
            </w:pPr>
          </w:p>
        </w:tc>
      </w:tr>
    </w:tbl>
    <w:p>
      <w:pPr>
        <w:spacing w:after="0" w:before="40" w:line="240" w:lineRule="auto"/>
        <w:jc w:val="left"/>
      </w:pPr>
      <w:r>
        <w:rPr>
          <w:rFonts w:ascii="Aptos" w:hAnsi="Aptos"/>
          <w:b w:val="0"/>
          <w:color w:val="5D6E89"/>
          <w:sz w:val="13"/>
        </w:rPr>
        <w:t>Nota de fuente: el propio factsheet fecha el Top 10 al 30/06/2026. No atribuir esas tenencias a agosto sin aclarar el desfase; el resto de la composición corresponde al factsheet con corte 31/08/2026.</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ULTRA CORTA DURACIÓN</w:t>
      </w:r>
    </w:p>
    <w:p>
      <w:pPr>
        <w:pStyle w:val="Heading1"/>
        <w:spacing w:before="0" w:after="20"/>
      </w:pPr>
      <w:r>
        <w:rPr>
          <w:rFonts w:ascii="Aptos" w:hAnsi="Aptos"/>
          <w:b/>
          <w:color w:val="000000"/>
          <w:sz w:val="30"/>
        </w:rPr>
        <w:t>LORD ABBETT ULTRA SHORT BOND "A" (USD) ACC</w:t>
      </w:r>
    </w:p>
    <w:p>
      <w:pPr>
        <w:spacing w:after="80"/>
      </w:pPr>
      <w:r>
        <w:rPr>
          <w:rFonts w:ascii="Aptos" w:hAnsi="Aptos"/>
          <w:b w:val="0"/>
          <w:color w:val="5D6E89"/>
          <w:sz w:val="15"/>
        </w:rPr>
        <w:t>ISIN IE00BYWY0C98    |    FI - Ultra Short</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generar ingreso corriente compatible con la preservación del capital mediante una amplia gama de instrumentos investment grade de renta fija ultracorta y mercado monetario, con duración promedio ponderada inferior a un año.</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18.800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2,19%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0,08%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0,64%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1,61%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3,28%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4,82%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3,62%</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5,20%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0,60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0,30%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0,59%</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Ultra Short</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Composición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tasa fija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52,0%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Commercial paper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tasa flotante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Bank loans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CLO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CMBS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Gobierno de EE. UU. y relacionados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Soberanos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0,1%</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A-2/P-2</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A-3/P-3</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Treasury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36,8%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menor a 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Distribución por vencimiento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0-0,49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0,50-0,99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1,00-1,49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1,50-1,99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2,00-2,49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2,50-3,00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más de 3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0,1%</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Top 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 Treasury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Toronto-Dominion Bank</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Wells Fargo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Bank of America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Antero Resources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Bank of America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 Treasury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JPMorgan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Macquarie Airfinance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Citigroup</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ULTRA CORTA DURACIÓN</w:t>
      </w:r>
    </w:p>
    <w:p>
      <w:pPr>
        <w:pStyle w:val="Heading1"/>
        <w:spacing w:before="0" w:after="20"/>
      </w:pPr>
      <w:r>
        <w:rPr>
          <w:rFonts w:ascii="Aptos" w:hAnsi="Aptos"/>
          <w:b/>
          <w:color w:val="000000"/>
          <w:sz w:val="30"/>
        </w:rPr>
        <w:t>FTGF FRANKLIN ULTRA SHORT DURATION INCOME "A" (USD) ACC</w:t>
      </w:r>
    </w:p>
    <w:p>
      <w:pPr>
        <w:spacing w:after="80"/>
      </w:pPr>
      <w:r>
        <w:rPr>
          <w:rFonts w:ascii="Aptos" w:hAnsi="Aptos"/>
          <w:b w:val="0"/>
          <w:color w:val="5D6E89"/>
          <w:sz w:val="15"/>
        </w:rPr>
        <w:t>ISIN IE000FLB7EK2    |    FI - Ultra Short</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maximizar ingresos y crecimiento del capital, manteniendo un alto grado de preservación del capital. Invierte principalmente en renta fija investment grade de corta duración, incluidos corporativos, Gobierno de EE. UU., instrumentos monetarios, MBS y ABS.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1.680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2,17%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0,01%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0,59%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3,24%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4,41%</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0,59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0,25%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0,60%</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Ultra Short</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Asignación de activos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investment grade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86,12%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Papel privado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9,28%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Treasury/agencias de 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RMBS non-agency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Certificados de depósito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0,33%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 neta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A-1+</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0,12%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A-1</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3,16%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A-2</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6,09%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A-3</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26,35%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49,15%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12,07%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liquidez</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posiciones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 Treasury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Citigroup</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JPMorgan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Morgan Stanley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BBVA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Banco Santander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Bank of America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Bank of Nova Scotia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Bank of Montreal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Estructura de cupón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tasa fija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42,18%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tasa flotante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58,41%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short-term investment fund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 neta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-0,61%</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CORTA DURACIÓN</w:t>
      </w:r>
    </w:p>
    <w:p>
      <w:pPr>
        <w:pStyle w:val="Heading1"/>
        <w:spacing w:before="0" w:after="20"/>
      </w:pPr>
      <w:r>
        <w:rPr>
          <w:rFonts w:ascii="Aptos" w:hAnsi="Aptos"/>
          <w:b/>
          <w:color w:val="000000"/>
          <w:sz w:val="30"/>
        </w:rPr>
        <w:t>LORD ABBETT SHORT DURATION INCOME FUND "A" (USD) ACC</w:t>
      </w:r>
    </w:p>
    <w:p>
      <w:pPr>
        <w:spacing w:after="80"/>
      </w:pPr>
      <w:r>
        <w:rPr>
          <w:rFonts w:ascii="Aptos" w:hAnsi="Aptos"/>
          <w:b w:val="0"/>
          <w:color w:val="5D6E89"/>
          <w:sz w:val="15"/>
        </w:rPr>
        <w:t>ISIN IE00BFNWXY26    |    FI - USD Investment Grade Corporate</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generar un nivel elevado de ingreso corriente compatible con la preservación del capital, invirtiendo principalmente en deuda de vencimientos cortos, incluidos corporativos, Gobierno de EE. UU., MBS y ABS.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53.200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0,24%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-0,95%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-0,56%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0,24%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4,50%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1,93%</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6,00%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2,00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1,08%</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USD Investment Grade Corporate</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Composición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investment grade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CLO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Corporativos high yield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Bank loans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Gobierno de EE. UU. y relacionados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Soberanos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Municipales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0,1%</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Treasury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Agency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38,4%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menor a 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16,5%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Vencimientos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menos de 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1-3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54,8%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29,8%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5-7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Top 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 Treasury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15Y UMBS TBA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 Treasury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Fannie Mae Pool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15Y UMBS TBA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Barclays Capital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Bain Capital Credit CLO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AGL CLO 17</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Flatiron RR CLO 22</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15Y UMBS TBA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CORTA DURACIÓN</w:t>
      </w:r>
    </w:p>
    <w:p>
      <w:pPr>
        <w:pStyle w:val="Heading1"/>
        <w:spacing w:before="0" w:after="20"/>
      </w:pPr>
      <w:r>
        <w:rPr>
          <w:rFonts w:ascii="Aptos" w:hAnsi="Aptos"/>
          <w:b/>
          <w:color w:val="000000"/>
          <w:sz w:val="30"/>
        </w:rPr>
        <w:t>MUZINICH ENHANCED YIELD SHORT TERM "P1" (USDHDG) ACC</w:t>
      </w:r>
    </w:p>
    <w:p>
      <w:pPr>
        <w:spacing w:after="80"/>
      </w:pPr>
      <w:r>
        <w:rPr>
          <w:rFonts w:ascii="Aptos" w:hAnsi="Aptos"/>
          <w:b w:val="0"/>
          <w:color w:val="5D6E89"/>
          <w:sz w:val="15"/>
        </w:rPr>
        <w:t>ISIN IE00BF2T2K37    |    FI - Global Flexible EUR Biased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proteger capital y generar retornos atractivos superiores a bonos gubernamentales de duración comparable, mediante una cartera diversificada principalmente de corporativos de vencimientos cortos o corta duration-to-worst. Predominan emisiones en monedas europeas y USD; rating medio investment grade y hasta 40% permitido en high yield.</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8.310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0,52%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-0,71%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4,86%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2,45%</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5,93%</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2,02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0,69%</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1,28%</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Global Flexible EUR Biased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Industrias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banca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21,75%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automotriz/autopartes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10,43%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servicios financieros diversificados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9,28%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homebuilders/real estate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6,59%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telecomunicaciones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4,42%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servicios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3,70%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CLO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3,50%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transporte sin aéreo/ferroviario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3,21%</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mayor a BBB1</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BBB1</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BBB2</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BBB3</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BB1</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BB2</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BB3</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menor a BB3</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Duración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hasta 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más de 1 y hasta 2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más de 2 y hasta 3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más de 3 y hasta 4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más de 4 y hasta 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más de 5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emisores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Ford Motor Credit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1,97%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BNP Paribas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General Motors Financial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DP World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HSBC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Oracle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Goldman Sachs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Deutsche Bank NY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Banco Santander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0,97%</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CORTA DURACIÓN</w:t>
      </w:r>
    </w:p>
    <w:p>
      <w:pPr>
        <w:pStyle w:val="Heading1"/>
        <w:spacing w:before="0" w:after="20"/>
      </w:pPr>
      <w:r>
        <w:rPr>
          <w:rFonts w:ascii="Aptos" w:hAnsi="Aptos"/>
          <w:b/>
          <w:color w:val="000000"/>
          <w:sz w:val="30"/>
        </w:rPr>
        <w:t>MFS MERIDIAN LIMITED MATURITY "A1" ACC</w:t>
      </w:r>
    </w:p>
    <w:p>
      <w:pPr>
        <w:spacing w:after="80"/>
      </w:pPr>
      <w:r>
        <w:rPr>
          <w:rFonts w:ascii="Aptos" w:hAnsi="Aptos"/>
          <w:b w:val="0"/>
          <w:color w:val="5D6E89"/>
          <w:sz w:val="15"/>
        </w:rPr>
        <w:t>ISIN LU0219442893    |    FI - US Aggregate Short Term</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retorno total con énfasis en ingreso corriente y preservación de capital, medido en USD. Invierte principalmente en deuda denominada en USD de emisores corporativos estadounidenses y no estadounidenses, gobiernos, MBS y otros instrumentos securitizados; sustancialmente todos los activos son investment grade. Vencimiento promedio normalmente no mayor a cinco años.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0,18%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-0,71%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-0,53%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0,06%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4,12%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1,74%</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5,10%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1,90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0,40%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1,14%</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US Aggregate Short Term</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Estructura y exposiciones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bonos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115,1%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caja/equivalentes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-15,9%</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Gobierno de 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agencias federales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39,2%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CCC o inferior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otros sin rating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15,9%</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Top 10 (39,9% del patrimonio)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Posiciones publicadas</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USD OIS 02/10/2026</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Treasury 4,875% 31/10/2028</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Treasury 3,875% 15/03/2028</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Treasury 4,625% 30/04/2029</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USD OIS 02/10/2026</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futuro UST 2Y dic-2026</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Treasury 4,5% 31/05/2029</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Treasury 2,75% 31/07/2027</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Bacardi 5,25% 15/01/2029</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DCP Midstream 5,625% 15/07/2027</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investment grade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54,7%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Treasuries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38,4%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CLO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RMBS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deuda emergente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soberanos no estadounidenses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municipales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CORTA DURACIÓN</w:t>
      </w:r>
    </w:p>
    <w:p>
      <w:pPr>
        <w:pStyle w:val="Heading1"/>
        <w:spacing w:before="0" w:after="20"/>
      </w:pPr>
      <w:r>
        <w:rPr>
          <w:rFonts w:ascii="Aptos" w:hAnsi="Aptos"/>
          <w:b/>
          <w:color w:val="000000"/>
          <w:sz w:val="30"/>
        </w:rPr>
        <w:t>BGF USD SHORT DURATION BOND "A2" ACC</w:t>
      </w:r>
    </w:p>
    <w:p>
      <w:pPr>
        <w:spacing w:after="80"/>
      </w:pPr>
      <w:r>
        <w:rPr>
          <w:rFonts w:ascii="Aptos" w:hAnsi="Aptos"/>
          <w:b w:val="0"/>
          <w:color w:val="5D6E89"/>
          <w:sz w:val="15"/>
        </w:rPr>
        <w:t>ISIN LU0154237225    |    FI - US Aggregate Short Term</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maximizar el retorno mediante crecimiento del capital e ingresos. Invierte al menos 80% en renta fija, incluidos bonos e instrumentos monetarios emitidos por el Gobierno y agencias de EE. UU., gobiernos/agencias no estadounidenses, empresas y supranacionales.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1.186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0,19%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-0,83%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-0,51%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0,26%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4,32%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1,76%</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5,29%</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1,97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0,38%</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0,85%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US Aggregate Short Term</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Sectores/exposición nocional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Treasuries y futuros sobre Treasuries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32,32%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Industriales investment grade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17,74%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15,84%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 investment grade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15,01%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Agency CMOs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9,67%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Hipotecas non-agency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7,23%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High yield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6,50%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Hipotecas comerciales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4,66%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Utilities investment grade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4,58%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Crédito relacionado no estadounidense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2,89%</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26,27%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29,52%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18,64%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24,27%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3,40%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CCC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0,16%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caja/derivados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0,24%</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Vencimientos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0-1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10,60%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1-2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19,93%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2-3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24,54%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36,31%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5-7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11,32%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7-10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4,86%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10-15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0,23%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15-20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más de 20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caja/derivados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0,24%</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posiciones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Treasury Note 3,5% 15/03/2029</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4,49%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FNMA 25-44B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FHLMC 5547</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Treasury Note 3,375% 29/02/2028</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FHLMC 5545</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UMBS 30Y TBA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FHLMC 5696A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Treasury Note 3,5% 15/01/2029</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FNMA 26-66B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JPMorgan 4,915% 24/01/2029</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0,79%</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INCOME</w:t>
      </w:r>
    </w:p>
    <w:p>
      <w:pPr>
        <w:pStyle w:val="Heading1"/>
        <w:spacing w:before="0" w:after="20"/>
      </w:pPr>
      <w:r>
        <w:rPr>
          <w:rFonts w:ascii="Aptos" w:hAnsi="Aptos"/>
          <w:b/>
          <w:color w:val="000000"/>
          <w:sz w:val="30"/>
        </w:rPr>
        <w:t>PIMCO INCOME "E" (USD) ACC</w:t>
      </w:r>
    </w:p>
    <w:p>
      <w:pPr>
        <w:spacing w:after="80"/>
      </w:pPr>
      <w:r>
        <w:rPr>
          <w:rFonts w:ascii="Aptos" w:hAnsi="Aptos"/>
          <w:b w:val="0"/>
          <w:color w:val="5D6E89"/>
          <w:sz w:val="15"/>
        </w:rPr>
        <w:t>ISIN IE00B7KFL990    |    FI - Global Flexible USD Biased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generar un nivel atractivo y sostenido de ingresos con perfil de riesgo relativamente bajo, priorizando secundariamente la apreciación del capital. Utiliza las mejores ideas de PIMCO en todos los sectores globales de renta fija y diversifica factores de riesgo.</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121.700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-3,48%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-3,48%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-4,40%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-2,55%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-1,43%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5,26%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1,71%</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7,42%</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6,77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1,45%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Global Flexible USD Biased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agency 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36,3%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crédito IG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government-related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emergentes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high yield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RMBS no estadounidenses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non-agency 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bank loans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Vencimientos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0-1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1-3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5-10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61,1%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10-20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más de 20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5,4%</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Contribución a duración por país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76,1%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Australia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Sudáfrica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Unión Europea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Brasil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Colombia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Perú</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Japón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Alemania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Industrias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banca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otros 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utilities eléctricas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automotriz</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cable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petróleo integrado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financiación diversificada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ingeniería/procurement independiente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otros servicios públicos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0,4%</w:t>
                  </w:r>
                </w:p>
              </w:tc>
            </w:tr>
          </w:tbl>
          <w:p/>
          <w:p>
            <w:pPr>
              <w:spacing w:after="0"/>
            </w:pPr>
          </w:p>
        </w:tc>
      </w:tr>
    </w:tbl>
    <w:p>
      <w:pPr>
        <w:spacing w:after="0" w:before="40" w:line="240" w:lineRule="auto"/>
        <w:jc w:val="left"/>
      </w:pPr>
      <w:r>
        <w:rPr>
          <w:rFonts w:ascii="Aptos" w:hAnsi="Aptos"/>
          <w:b w:val="0"/>
          <w:color w:val="5D6E89"/>
          <w:sz w:val="13"/>
        </w:rPr>
        <w:t>Nota de fuente: el Top 10 está fechado 30/06/2026. El resto del factsheet cierra 31/08/2026.</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INCOME</w:t>
      </w:r>
    </w:p>
    <w:p>
      <w:pPr>
        <w:pStyle w:val="Heading1"/>
        <w:spacing w:before="0" w:after="20"/>
      </w:pPr>
      <w:r>
        <w:rPr>
          <w:rFonts w:ascii="Aptos" w:hAnsi="Aptos"/>
          <w:b/>
          <w:color w:val="000000"/>
          <w:sz w:val="30"/>
        </w:rPr>
        <w:t>NEUBERGER STRATEGIC INCOME "A" (USD) ACC</w:t>
      </w:r>
    </w:p>
    <w:p>
      <w:pPr>
        <w:spacing w:after="80"/>
      </w:pPr>
      <w:r>
        <w:rPr>
          <w:rFonts w:ascii="Aptos" w:hAnsi="Aptos"/>
          <w:b w:val="0"/>
          <w:color w:val="5D6E89"/>
          <w:sz w:val="15"/>
        </w:rPr>
        <w:t>ISIN IE00B87L2R26    |    FI - Global Flexible USD Biased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maximizar el retorno total mediante ingresos corrientes elevados y crecimiento de largo plazo bajo distintos entornos de mercado, con foco en protección a la baja. Invierte principalmente en deuda corporativa estadounidense y del Gobierno/agencias de EE. UU., tanto IG como HY o sin rating, a tasa fija y flotante.</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7.437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-3,21%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-3,69%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-2,37%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-1,88%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5,58%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1,29%</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7,23%</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5,89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1,08%</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Global Flexible USD Biased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IG credit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26,47%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non-IG credit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24,60%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agency MBS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27,64%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securitized credit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20,56%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deuda emergente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US Government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global government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municipales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2,71%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35,83%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14,28%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24,40%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17,14%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11,07%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CCC o inferior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3,10%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Norteamérica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83,41%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Europa ex 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12,36%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Latinoamérica emergente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6,01%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Asia emergente + MEA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3,79%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Europa emergente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Asia Pacífico ex Japón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Japón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0,39%</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Monedas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94,54%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EUR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GBP</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0,31%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EGP</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LKR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0,17%</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INCOME</w:t>
      </w:r>
    </w:p>
    <w:p>
      <w:pPr>
        <w:pStyle w:val="Heading1"/>
        <w:spacing w:before="0" w:after="20"/>
      </w:pPr>
      <w:r>
        <w:rPr>
          <w:rFonts w:ascii="Aptos" w:hAnsi="Aptos"/>
          <w:b/>
          <w:color w:val="000000"/>
          <w:sz w:val="30"/>
        </w:rPr>
        <w:t>SCHRODER ISF GLOBAL CREDIT INCOME "A" (USD) ACC</w:t>
      </w:r>
    </w:p>
    <w:p>
      <w:pPr>
        <w:spacing w:after="80"/>
      </w:pPr>
      <w:r>
        <w:rPr>
          <w:rFonts w:ascii="Aptos" w:hAnsi="Aptos"/>
          <w:b w:val="0"/>
          <w:color w:val="5D6E89"/>
          <w:sz w:val="15"/>
        </w:rPr>
        <w:t>ISIN LU1737068558    |    FI - Global Flexible USD Biased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ofrecer ingresos y crecimiento del capital invirtiendo en bonos de gobiernos y empresas de todo el mundo, procurando contener pérdidas durante fases bajistas. Artículo 8 SFDR.</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7.972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-1,77%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-2,44%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-3,07%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-0,64%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-0,60%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6,32%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1,53%</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6,80%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5,20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1,40%</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Global Flexible USD Biased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30,9%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bonos securitizados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soberanos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soberanos extranjeros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 y derivados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agencias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supranacionales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activos líquidos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28,2%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CCC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CC</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50,4%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Alemania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México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Canadá</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activos líquidos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Japón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Francia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Italia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Polonia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Top 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FNMA 5,5% 2055</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GNMA 5,5% 2055</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FHLMC UMBS 5,5% 2056</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FHLMC 5% 2056</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FNMA 6% 2055</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GNMA 5% 2056</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FNMA UMBS 5,5% 2056</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UST 4,125% 2026</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Sopaipilla Investor 7,534% 2048</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FNMA 5% 2056</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INCOME</w:t>
      </w:r>
    </w:p>
    <w:p>
      <w:pPr>
        <w:pStyle w:val="Heading1"/>
        <w:spacing w:before="0" w:after="20"/>
      </w:pPr>
      <w:r>
        <w:rPr>
          <w:rFonts w:ascii="Aptos" w:hAnsi="Aptos"/>
          <w:b/>
          <w:color w:val="000000"/>
          <w:sz w:val="30"/>
        </w:rPr>
        <w:t>WELLINGTON CREDIT TOTAL RETURN "D" (USD) ACC</w:t>
      </w:r>
    </w:p>
    <w:p>
      <w:pPr>
        <w:spacing w:after="80"/>
      </w:pPr>
      <w:r>
        <w:rPr>
          <w:rFonts w:ascii="Aptos" w:hAnsi="Aptos"/>
          <w:b w:val="0"/>
          <w:color w:val="5D6E89"/>
          <w:sz w:val="15"/>
        </w:rPr>
        <w:t>ISIN LU2750480548    |    FI - Global Flexible USD Biased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retorno total de largo plazo mediante una cartera global activa de Treasuries, corporativos, high yield y deuda emergente denominados en USD, sin construcción relativa a benchmark.</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-2,73%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-2,48%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-3,30%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-2,10%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-2,32%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5,30%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4,60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1,25%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Global Flexible USD Biased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Distribución sectorial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Treasury + 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IG desarrollados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30,8%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IG emergentes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HY desarrollados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HY emergentes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ex caja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57,9%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25,2%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emisores ex Treasuries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PG&amp;E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Charter Communications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Oracle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Edison International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Reino de Marruecos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Paramount Skydance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KKR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Brookfield Wealth</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Apollo Global Management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Industrias ex Treasuries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utilities eléctricas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comunicaciones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cíclico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seguros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 básica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no cíclico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bienes de capital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INCOME</w:t>
      </w:r>
    </w:p>
    <w:p>
      <w:pPr>
        <w:pStyle w:val="Heading1"/>
        <w:spacing w:before="0" w:after="20"/>
      </w:pPr>
      <w:r>
        <w:rPr>
          <w:rFonts w:ascii="Aptos" w:hAnsi="Aptos"/>
          <w:b/>
          <w:color w:val="000000"/>
          <w:sz w:val="30"/>
        </w:rPr>
        <w:t>JPM GLOBAL BOND OPPORTUNITIES "A" (USD) ACC</w:t>
      </w:r>
    </w:p>
    <w:p>
      <w:pPr>
        <w:spacing w:after="80"/>
      </w:pPr>
      <w:r>
        <w:rPr>
          <w:rFonts w:ascii="Aptos" w:hAnsi="Aptos"/>
          <w:b w:val="0"/>
          <w:color w:val="5D6E89"/>
          <w:sz w:val="15"/>
        </w:rPr>
        <w:t>ISIN LU0867954264    |    FI - Global Flexible USD Biased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superar al benchmark mediante una cartera oportunista y sin restricciones de instrumentos de deuda y monedas, utilizando derivados cuando corresponde. Proceso global integrado de análisis fundamental, cuantitativo y técnico; asignación dinámica entre sectores, países y duración.</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4.866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-1,67%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-2,18%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-3,28%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0,01%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-0,64%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5,13%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1,58%</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6,21%</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4,78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Global Flexible USD Biased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IG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deuda emergente local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HY 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agency MBS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HY no estadounidenses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soberanos emergentes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gobiernos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convertibles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emergentes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CMBS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14,79%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4,78%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10,52%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29,09%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menor a 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33,30%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5,27%</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51,1%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Alemania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Francia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México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Italia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Brasil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Sudáfrica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Colombia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España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Monedas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88,2%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EUR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BRL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GBP</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CNH</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ZAR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CZK</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CLP</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JPY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w:t>
                  </w:r>
                </w:p>
              </w:tc>
            </w:tr>
          </w:tbl>
          <w:p/>
          <w:p>
            <w:pPr>
              <w:spacing w:after="0"/>
            </w:pPr>
          </w:p>
        </w:tc>
      </w:tr>
    </w:tbl>
    <w:p>
      <w:pPr>
        <w:spacing w:after="0" w:before="40" w:line="240" w:lineRule="auto"/>
        <w:jc w:val="left"/>
      </w:pPr>
      <w:r>
        <w:rPr>
          <w:rFonts w:ascii="Aptos" w:hAnsi="Aptos"/>
          <w:b w:val="0"/>
          <w:color w:val="5D6E89"/>
          <w:sz w:val="13"/>
        </w:rPr>
        <w:t>Nota de fuente: composición, sectores, calidad, regiones y Top 10 están fechados 31/07/2026 dentro del factsheet de agosto. Presentar como último dato disponible, no como tenencias de agosto.</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HIGH YIELD</w:t>
      </w:r>
    </w:p>
    <w:p>
      <w:pPr>
        <w:pStyle w:val="Heading1"/>
        <w:spacing w:before="0" w:after="20"/>
      </w:pPr>
      <w:r>
        <w:rPr>
          <w:rFonts w:ascii="Aptos" w:hAnsi="Aptos"/>
          <w:b/>
          <w:color w:val="000000"/>
          <w:sz w:val="30"/>
        </w:rPr>
        <w:t>LORD ABBETT SHORT DURATION HIGH YIELD "A" (USD) ACC</w:t>
      </w:r>
    </w:p>
    <w:p>
      <w:pPr>
        <w:spacing w:after="80"/>
      </w:pPr>
      <w:r>
        <w:rPr>
          <w:rFonts w:ascii="Aptos" w:hAnsi="Aptos"/>
          <w:b w:val="0"/>
          <w:color w:val="5D6E89"/>
          <w:sz w:val="15"/>
        </w:rPr>
        <w:t>ISIN IE000ECPJMU8    |    FI - USD High Yield Corporate</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generar alto ingreso corriente y apreciación del capital para producir un retorno total elevado, invirtiendo principalmente en corporativos de vencimiento corto, baja duración y calificación inferior a investment grade.</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11.500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0,56%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-2,10%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-1,56%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7,19%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8,90%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2,50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USD High Yield Corporate</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Composición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HY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86,8%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corporativos IG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bank loans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convertibles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41,7%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39,0%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CCC</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menor a CCC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Vencimientos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menos de 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1-3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39,6%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43,8%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5-7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más de 10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0,4%</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Top 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WULF Compute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Meridian Arc Holdco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Tenet Healthcare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DirecTV Financing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CCO Holdings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Cipher Compute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Nissan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OneMain Finance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Venture Global LNG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PR RNO Property Owner 1</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0,5%</w:t>
                  </w:r>
                </w:p>
              </w:tc>
            </w:tr>
          </w:tbl>
          <w:p/>
          <w:p>
            <w:pPr>
              <w:spacing w:after="0"/>
            </w:pPr>
          </w:p>
        </w:tc>
      </w:tr>
    </w:tbl>
    <w:p>
      <w:pPr>
        <w:spacing w:after="0" w:before="40" w:line="240" w:lineRule="auto"/>
        <w:jc w:val="left"/>
      </w:pPr>
      <w:r>
        <w:rPr>
          <w:rFonts w:ascii="Aptos" w:hAnsi="Aptos"/>
          <w:b w:val="0"/>
          <w:color w:val="5D6E89"/>
          <w:sz w:val="13"/>
        </w:rPr>
        <w:t>Nota de fuente: Excel presenta TER y trailer como no disponibles. El TER de 1,15% proviene del factsheet; trailer permanece “—”.</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HIGH YIELD</w:t>
      </w:r>
    </w:p>
    <w:p>
      <w:pPr>
        <w:pStyle w:val="Heading1"/>
        <w:spacing w:before="0" w:after="20"/>
      </w:pPr>
      <w:r>
        <w:rPr>
          <w:rFonts w:ascii="Aptos" w:hAnsi="Aptos"/>
          <w:b/>
          <w:color w:val="000000"/>
          <w:sz w:val="30"/>
        </w:rPr>
        <w:t>BARINGS GLOBAL SENIOR SECURED BOND "A1" (USD) ACC</w:t>
      </w:r>
    </w:p>
    <w:p>
      <w:pPr>
        <w:spacing w:after="80"/>
      </w:pPr>
      <w:r>
        <w:rPr>
          <w:rFonts w:ascii="Aptos" w:hAnsi="Aptos"/>
          <w:b w:val="0"/>
          <w:color w:val="5D6E89"/>
          <w:sz w:val="15"/>
        </w:rPr>
        <w:t>ISIN IE00BK71B469    |    FI - Global High Yield Corporate</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generar alto ingreso corriente y, cuando corresponda, apreciación del capital. Invierte principalmente en deuda corporativa global, con foco en instrumentos HY senior secured de Norteamérica y Europa, respaldados por colateral y con prioridad frente a deuda subordinada.</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3.201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0,16%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-1,98%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-1,34%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0,93%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7,17%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3,34%</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7,28%</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2,68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1,29%</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Global High Yield Corporate</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telecomunicaciones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14,95%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12,76%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leisure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8,94%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medios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7,79%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servicios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6,75%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bienes de capital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5,81%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tecnología/electrónica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5,79%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 básica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5,40%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5,14%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servicios 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5,00%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Rating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2,76%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46,01%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43,30%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CCC o inferior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3,64%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3,06%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Regiones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Norteamérica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65,66%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Europa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29,89%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resto del mundo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Asia Pacífico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3,06%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Países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64,25%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6,63%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Alemania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4,46%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Francia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4,28%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España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3,69%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Italia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Suecia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Irlanda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Canadá</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Dinamarca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1,25%</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HIGH YIELD</w:t>
      </w:r>
    </w:p>
    <w:p>
      <w:pPr>
        <w:pStyle w:val="Heading1"/>
        <w:spacing w:before="0" w:after="20"/>
      </w:pPr>
      <w:r>
        <w:rPr>
          <w:rFonts w:ascii="Aptos" w:hAnsi="Aptos"/>
          <w:b/>
          <w:color w:val="000000"/>
          <w:sz w:val="30"/>
        </w:rPr>
        <w:t>FRANKLIN HIGH YIELD "A" ACC</w:t>
      </w:r>
    </w:p>
    <w:p>
      <w:pPr>
        <w:spacing w:after="80"/>
      </w:pPr>
      <w:r>
        <w:rPr>
          <w:rFonts w:ascii="Aptos" w:hAnsi="Aptos"/>
          <w:b w:val="0"/>
          <w:color w:val="5D6E89"/>
          <w:sz w:val="15"/>
        </w:rPr>
        <w:t>ISIN LU0131126228    |    FI - USD High Yield Corporate</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generar altos niveles de ingresos y, secundariamente, crecimiento del capital. Invierte principalmente en bonos corporativos globales por debajo de investment grade, con exposición considerable a EE. UU.</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1.250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-0,52%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-2,64%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-1,95%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0,92%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7,24%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3,12%</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8,07%</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3,05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0,40%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1,51%</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USD High Yield Corporate</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finanzas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14,91%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12,39%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8,36%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6,52%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medios inalámbricos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cable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4,66%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4,36%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construcción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4,30%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35,41%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liquidez</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3,22%</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Calidad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4,79%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48,06%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34,71%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CCC</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8,19%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0,29%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sin clasificar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no aplicable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liquidez</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3,22%</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Top 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CCO Holdings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Carnival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Community Health Systems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Mauser Packaging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Millrose Properties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EquipmentShare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Talen Energy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Crescent Energy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Venture Global LNG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Fertitta Entertainment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0,96%</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MERCADOS EMERGENTES</w:t>
      </w:r>
    </w:p>
    <w:p>
      <w:pPr>
        <w:pStyle w:val="Heading1"/>
        <w:spacing w:before="0" w:after="20"/>
      </w:pPr>
      <w:r>
        <w:rPr>
          <w:rFonts w:ascii="Aptos" w:hAnsi="Aptos"/>
          <w:b/>
          <w:color w:val="000000"/>
          <w:sz w:val="30"/>
        </w:rPr>
        <w:t>NEUBERGER BERMAN SHORT DURATION EMERGING MARKET DEBT "A" (USD) ACC</w:t>
      </w:r>
    </w:p>
    <w:p>
      <w:pPr>
        <w:spacing w:after="80"/>
      </w:pPr>
      <w:r>
        <w:rPr>
          <w:rFonts w:ascii="Aptos" w:hAnsi="Aptos"/>
          <w:b w:val="0"/>
          <w:color w:val="5D6E89"/>
          <w:sz w:val="15"/>
        </w:rPr>
        <w:t>ISIN IE00BDZRXR46    |    FI - Emerging Markets Hard Currency</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lograr un retorno promedio objetivo de 3% sobre caja antes de comisiones durante un ciclo de mercado, mediante una cartera diversificada de soberanos y corporativos emergentes de corta duración denominados en monedas fuertes.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5.465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0,70%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-1,64%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-1,17%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7,29%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3,09%</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5,88%</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2,57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1,06%</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Emerging Markets Hard Currency</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Asignación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42,50%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soberanos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27,65%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cuasi soberanos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18,82%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supranacionales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3,15%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subsoberanos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7,26%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7,20%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19,62%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17,76%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26,74%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16,82%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CCC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0,22%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7,26%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Duración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menos de 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15,99%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1-3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41,27%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40,29%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5-7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7-10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0,14%</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Países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Arabia Saudita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8,69%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EAU</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7,87%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Colombia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6,76%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México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6,23%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Rumania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5,12%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Brasil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5,00%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Turquía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4,48%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Corea del Sur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4,20%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supranacionales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3,64%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Costa de Marfil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3,63%</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MERCADOS EMERGENTES</w:t>
      </w:r>
    </w:p>
    <w:p>
      <w:pPr>
        <w:pStyle w:val="Heading1"/>
        <w:spacing w:before="0" w:after="20"/>
      </w:pPr>
      <w:r>
        <w:rPr>
          <w:rFonts w:ascii="Aptos" w:hAnsi="Aptos"/>
          <w:b/>
          <w:color w:val="000000"/>
          <w:sz w:val="30"/>
        </w:rPr>
        <w:t>BSF EMERGING MARKETS FLEXI DYNAMIC BOND "A2" (USD) ACC</w:t>
      </w:r>
    </w:p>
    <w:p>
      <w:pPr>
        <w:spacing w:after="80"/>
      </w:pPr>
      <w:r>
        <w:rPr>
          <w:rFonts w:ascii="Aptos" w:hAnsi="Aptos"/>
          <w:b w:val="0"/>
          <w:color w:val="5D6E89"/>
          <w:sz w:val="15"/>
        </w:rPr>
        <w:t>ISIN LU0940382277    |    FI - Emerging Markets Hard Currency</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maximizar retorno mediante crecimiento de capital e ingresos, obteniendo al menos 70% de exposición a renta fija y activos relacionados de mercados emergentes, tanto en monedas emergentes como desarrolladas. Puede usar derivados y apalancamiento.</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1.539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0,33%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-2,39%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-2,30%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2,14%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3,95%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8,33%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2,51%</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7,39%</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4,68%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1,78%</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Emerging Markets Hard Currency</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deuda soberana local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35,40%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deuda soberana externa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34,82%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cuasi soberanos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10,21%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caja/derivados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9,32%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corporativos hard currency</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8,58%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corporativos local currency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0,35%</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0,30%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11,61%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25,71%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24,10%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17,31%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CCC</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5,94%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0,18%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0,14%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4,27%</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Vencimientos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0-1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6,44%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1-2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7,64%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2-3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7,30%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20,63%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5-7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11,28%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7-10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17,90%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10-15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11,00%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15-20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3,40%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más de 20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5,09%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caja/derivados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9,32%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Top 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Pemex 5,95% 2031</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Colombia 13,25% 2033</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Chile 4,9% 2027</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1,97%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Polonia 5% 2035</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Chile local 5,8% 2029</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México 8,5% 2030</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Sudáfrica 8,5% 2037</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1,65%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México 7,75% 2042</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Tailandia 2,5% 2029</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Malasia 3,828% 2034</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1,56%</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FIJA MERCADOS EMERGENTES</w:t>
      </w:r>
    </w:p>
    <w:p>
      <w:pPr>
        <w:pStyle w:val="Heading1"/>
        <w:spacing w:before="0" w:after="20"/>
      </w:pPr>
      <w:r>
        <w:rPr>
          <w:rFonts w:ascii="Aptos" w:hAnsi="Aptos"/>
          <w:b/>
          <w:color w:val="000000"/>
          <w:sz w:val="30"/>
        </w:rPr>
        <w:t>SCHRODER ISF EMERGING MARKET BOND "A" (USD) ACC</w:t>
      </w:r>
    </w:p>
    <w:p>
      <w:pPr>
        <w:spacing w:after="80"/>
      </w:pPr>
      <w:r>
        <w:rPr>
          <w:rFonts w:ascii="Aptos" w:hAnsi="Aptos"/>
          <w:b w:val="0"/>
          <w:color w:val="5D6E89"/>
          <w:sz w:val="15"/>
        </w:rPr>
        <w:t>ISIN LU0795632180    |    FI - Emerging Markets Hard Currency</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crecimiento de capital e ingresos por encima del JPM Emerging Market Blend Equal Weighted Index, después de comisiones, en un horizonte de 3 a 5 años, invirtiendo en bonos de gobiernos, agencias, supranacionales y empresas emergentes.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2.303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-0,95%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-2,76%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-3,16%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9,35%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2,55%</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8,90%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4,70% años</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1,29%</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FI - Emerging Markets Hard Currency</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soberanos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61,3%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activos líquidos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petróleo y gas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TMT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metales/minería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real estate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transporte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CCC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CC</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0,4%</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Países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México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Brasil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Egipto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Colombia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Arabia Saudita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Turquía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Sudáfrica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Nigeria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Ecuador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3,5%</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Regiones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Sudamérica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Norteamérica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África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16,7%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Asia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Europa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activos líquidos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mercados emergentes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supranacional/global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0,4%</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MIXTA BALANCEADO</w:t>
      </w:r>
    </w:p>
    <w:p>
      <w:pPr>
        <w:pStyle w:val="Heading1"/>
        <w:spacing w:before="0" w:after="20"/>
      </w:pPr>
      <w:r>
        <w:rPr>
          <w:rFonts w:ascii="Aptos" w:hAnsi="Aptos"/>
          <w:b/>
          <w:color w:val="000000"/>
          <w:sz w:val="30"/>
        </w:rPr>
        <w:t>CALAMOS GROWTH AND INCOME "A" (USD) ACC</w:t>
      </w:r>
    </w:p>
    <w:p>
      <w:pPr>
        <w:spacing w:after="80"/>
      </w:pPr>
      <w:r>
        <w:rPr>
          <w:rFonts w:ascii="Aptos" w:hAnsi="Aptos"/>
          <w:b w:val="0"/>
          <w:color w:val="5D6E89"/>
          <w:sz w:val="15"/>
        </w:rPr>
        <w:t>ISIN IE000VKXOHZ8    |    MA - Aggressive</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crecimiento de capital de largo plazo mediante una estrategia multi-activo concentrada principalmente en acciones estadounidenses, bonos convertibles, renta fija tradicional y opciones. Procura capturar una participación similar a la renta variable con un perfil de riesgo más moderado a lo largo del ciclo. Combina análisis macroeconómico top-down con investigación fundamental bottom-up.</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378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10,64%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-0,44%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0,11%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15,38%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12,63%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18,57%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MA - Aggressive</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Asignación de activos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acciones comunes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77,2%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convertibles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 y cuentas por cobrar/pagar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deuda del Gobierno de EE. UU.</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opciones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34,9%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comunicaciones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Alphabet 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JPMorgan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Meta 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Micron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Eli Lilly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 de la porción de bonos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BBB</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sin rating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73,7%</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MIXTA BALANCEADO</w:t>
      </w:r>
    </w:p>
    <w:p>
      <w:pPr>
        <w:pStyle w:val="Heading1"/>
        <w:spacing w:before="0" w:after="20"/>
      </w:pPr>
      <w:r>
        <w:rPr>
          <w:rFonts w:ascii="Aptos" w:hAnsi="Aptos"/>
          <w:b/>
          <w:color w:val="000000"/>
          <w:sz w:val="30"/>
        </w:rPr>
        <w:t>PIMCO BALANCED INCOME AND GROWTH "E" (USD) ACC</w:t>
      </w:r>
    </w:p>
    <w:p>
      <w:pPr>
        <w:spacing w:after="80"/>
      </w:pPr>
      <w:r>
        <w:rPr>
          <w:rFonts w:ascii="Aptos" w:hAnsi="Aptos"/>
          <w:b w:val="0"/>
          <w:color w:val="5D6E89"/>
          <w:sz w:val="15"/>
        </w:rPr>
        <w:t>ISIN IE00B4YYXB79    |    MA - Balanced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estrategia global multi-sector que combina el proceso de retorno total de PIMCO con maximización de ingresos. Integra renta variable global core, renta fija flexible orientada a ingresos y flexibilidad táctica para buscar crecimiento e ingresos con diversificación entre activos.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18.900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10,18%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-2,12%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0,29%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9,25%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15,06%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16,98%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6,68%</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0,97%</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2,15%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MA - Balanced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Asignación de exposición por valor de mercado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acciones 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acciones desarrolladas ex-EE. UU.</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acciones emergentes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renta fija EE. UU.</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46,5%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renta fija desarrollada ex-EE. UU.</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renta fija emergente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commodities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instrumentos netos de corta duración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-21,2%</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Sectores de renta variable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comunicaciones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2,1%</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 informadas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2,51%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FNMA TBA 5,0% 30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Taiwan Semiconductor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1,98%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U.S. Treasury Inflation-Protected Bond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FNMA TBA 6,0%</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ASML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FNMA TBA 6,5%</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Cisco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1,07%</w:t>
                  </w:r>
                </w:p>
              </w:tc>
            </w:tr>
          </w:tbl>
          <w:p/>
          <w:p>
            <w:pPr>
              <w:spacing w:after="0"/>
            </w:pPr>
          </w:p>
        </w:tc>
      </w:tr>
    </w:tbl>
    <w:p>
      <w:pPr>
        <w:spacing w:after="0" w:before="40" w:line="240" w:lineRule="auto"/>
        <w:jc w:val="left"/>
      </w:pPr>
      <w:r>
        <w:rPr>
          <w:rFonts w:ascii="Aptos" w:hAnsi="Aptos"/>
          <w:b w:val="0"/>
          <w:color w:val="5D6E89"/>
          <w:sz w:val="13"/>
        </w:rPr>
        <w:t>Nota de fuente: las exposiciones suman más de 100% antes del neteo porque incluyen derivados y offsets. El -21,2% no representa una tenencia física negativa; debe conservarse como exposición neta de instrumentos de corta duración.</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MIXTA BALANCEADO</w:t>
      </w:r>
    </w:p>
    <w:p>
      <w:pPr>
        <w:pStyle w:val="Heading1"/>
        <w:spacing w:before="0" w:after="20"/>
      </w:pPr>
      <w:r>
        <w:rPr>
          <w:rFonts w:ascii="Aptos" w:hAnsi="Aptos"/>
          <w:b/>
          <w:color w:val="000000"/>
          <w:sz w:val="30"/>
        </w:rPr>
        <w:t>JANUS HENDERSON BALANCED "A2" (USD) ACC</w:t>
      </w:r>
    </w:p>
    <w:p>
      <w:pPr>
        <w:spacing w:after="80"/>
      </w:pPr>
      <w:r>
        <w:rPr>
          <w:rFonts w:ascii="Aptos" w:hAnsi="Aptos"/>
          <w:b w:val="0"/>
          <w:color w:val="5D6E89"/>
          <w:sz w:val="15"/>
        </w:rPr>
        <w:t>ISIN IE0004445015    |    MA - Balanced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generar una combinación de crecimiento de capital e ingresos, buscando limitar pérdidas de capital aunque sin garantía. La meta es superar en 1,5% anual antes de gastos al índice 60% S&amp;P 500 / 40% Bloomberg US Aggregate Bond en cualquier período de cinco años. puede mantener 35%-70% en acciones y 30%-65% en renta fija, préstamos o caja. Al menos 80% se invierte en compañías y emisores estadounidenses. La exposición a mercados en desarrollo está limitada a 10%. Hasta 35% de la porción de renta fija puede ser sub-investment grade. La gestión puede posicionarse defensivamente y usar derivados para reducir riesgo, administrar el fondo o generar capital e ingresos.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11.590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-1,74%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-0,68%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8,23%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3,85%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12,97%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5,81%</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1,88%</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MA - Balanced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Asignación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renta variable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64,08%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renta fija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33,86%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 y equivalentes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2,06%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Renta variable por sector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24,01%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9,25%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7,60%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7,00%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comunicaciones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5,06%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4,59%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1,02%</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4,46%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UST 4,38% 31/07/2031</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4,11%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3,01%</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2,98%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Janus Henderson ABS Fund Z USD Hedged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2,79%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2,19%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Micron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1,69%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JPMorgan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Calidad crediticia de la renta fija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Aaa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4,35%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17,98%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5,47%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2,09%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0,19%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0,21%</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GLOBAL</w:t>
      </w:r>
    </w:p>
    <w:p>
      <w:pPr>
        <w:pStyle w:val="Heading1"/>
        <w:spacing w:before="0" w:after="20"/>
      </w:pPr>
      <w:r>
        <w:rPr>
          <w:rFonts w:ascii="Aptos" w:hAnsi="Aptos"/>
          <w:b/>
          <w:color w:val="000000"/>
          <w:sz w:val="30"/>
        </w:rPr>
        <w:t>JUPITER MERIAN WORLD EQUITY "L" (USD) ACC</w:t>
      </w:r>
    </w:p>
    <w:p>
      <w:pPr>
        <w:spacing w:after="80"/>
      </w:pPr>
      <w:r>
        <w:rPr>
          <w:rFonts w:ascii="Aptos" w:hAnsi="Aptos"/>
          <w:b w:val="0"/>
          <w:color w:val="5D6E89"/>
          <w:sz w:val="15"/>
        </w:rPr>
        <w:t>ISIN IE0005263466    |    EQ - Global Flex Cap</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crecimiento del capital mediante una cartera ampliamente diversificada de emisores globales, sin concentración predeterminada por región, industria o sector. Invierte al menos 70% en acciones globales de cualquier tamaño y puede asignar hasta 20% a compañías de mercados emergentes y hasta 15% a REITs. Busca superar neto de comisiones al MSCI World Net Total Return en períodos móviles de tres años.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2.945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12,42%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-2,19%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3,62%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19,37%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18,25%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23,98%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13,30%</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1,65%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Global Flex Cap</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28,6%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comunicaciones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6,3%</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real estate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71,3%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Japón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Canadá</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Países Bajos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Francia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Alemania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Australia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Finlandia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Italia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 C</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Micron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 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ASML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Salesforce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w:t>
                  </w:r>
                </w:p>
              </w:tc>
            </w:tr>
          </w:tbl>
          <w:p/>
          <w:p>
            <w:pPr>
              <w:spacing w:after="0"/>
            </w:pPr>
          </w:p>
        </w:tc>
      </w:tr>
    </w:tbl>
    <w:p>
      <w:pPr>
        <w:spacing w:after="0" w:before="40" w:line="240" w:lineRule="auto"/>
        <w:jc w:val="left"/>
      </w:pPr>
      <w:r>
        <w:rPr>
          <w:rFonts w:ascii="Aptos" w:hAnsi="Aptos"/>
          <w:b w:val="0"/>
          <w:color w:val="5D6E89"/>
          <w:sz w:val="13"/>
        </w:rPr>
        <w:t>Datos adicionales: Número de posiciones: 486. Nota de fuente: la caja de -0,2% debe mostrarse como exposición neta, no como una tenencia física negativa.</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GLOBAL</w:t>
      </w:r>
    </w:p>
    <w:p>
      <w:pPr>
        <w:pStyle w:val="Heading1"/>
        <w:spacing w:before="0" w:after="20"/>
      </w:pPr>
      <w:r>
        <w:rPr>
          <w:rFonts w:ascii="Aptos" w:hAnsi="Aptos"/>
          <w:b/>
          <w:color w:val="000000"/>
          <w:sz w:val="30"/>
        </w:rPr>
        <w:t>MFS MERIDIAN CONTRARIAN CAPITAL "A1" (USD) ACC</w:t>
      </w:r>
    </w:p>
    <w:p>
      <w:pPr>
        <w:spacing w:after="80"/>
      </w:pPr>
      <w:r>
        <w:rPr>
          <w:rFonts w:ascii="Aptos" w:hAnsi="Aptos"/>
          <w:b w:val="0"/>
          <w:color w:val="5D6E89"/>
          <w:sz w:val="15"/>
        </w:rPr>
        <w:t>ISIN LU2864445049    |    EQ - Global Value</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apreciación de capital en dólares mediante una estrategia contrarian global que busca áreas de controversia en el mercado. Utiliza research fundamental bottom-up para identificar oportunidades asimétricas con potencial de limitar caídas, priorizando valuación, apalancamiento del balance y margen de seguridad. Busca compañías que coticen con descuento significativo respecto de su valor intrínseco por sentimiento adverso, dificultades operativas o procesos de transición.</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1.300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12,13%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-5,13%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10,60%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15,77%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1,85%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Global Value</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14,6%</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6,4%</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6,7%</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Países principales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25,5%</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Francia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Alemania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11,9%</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Países Bajos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8,5%</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tenencias, sin peso individual publicado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Posiciones publicadas</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Davide Campari-Milano</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Michelin</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Boston Scientific</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IMCD</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National Grid</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Anheuser-Busch InBev</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Saint-Gobain</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Medtronic</w:t>
                  </w:r>
                </w:p>
              </w:tc>
            </w:tr>
            <w:tr>
              <w:tc>
                <w:tcPr>
                  <w:tcW w:type="dxa" w:w="4680"/>
                  <w:vAlign w:val="center"/>
                  <w:tcMar>
                    <w:top w:w="55" w:type="dxa"/>
                    <w:start w:w="70" w:type="dxa"/>
                    <w:bottom w:w="55" w:type="dxa"/>
                    <w:end w:w="70" w:type="dxa"/>
                  </w:tcMar>
                </w:tcPr>
                <w:p>
                  <w:pPr>
                    <w:spacing w:after="0" w:line="240" w:lineRule="auto"/>
                    <w:jc w:val="left"/>
                  </w:pPr>
                  <w:r>
                    <w:rPr>
                      <w:rFonts w:ascii="Aptos" w:hAnsi="Aptos"/>
                      <w:b w:val="0"/>
                      <w:color w:val="000000"/>
                      <w:sz w:val="14"/>
                    </w:rPr>
                    <w:t>RenaissanceRe</w:t>
                  </w:r>
                </w:p>
              </w:tc>
            </w:tr>
            <w:tr>
              <w:tc>
                <w:tcPr>
                  <w:tcW w:type="dxa" w:w="4680"/>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Becton Dickinson</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Estructura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acciones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93,3%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 y equivalentes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6,7%</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GLOBAL</w:t>
      </w:r>
    </w:p>
    <w:p>
      <w:pPr>
        <w:pStyle w:val="Heading1"/>
        <w:spacing w:before="0" w:after="20"/>
      </w:pPr>
      <w:r>
        <w:rPr>
          <w:rFonts w:ascii="Aptos" w:hAnsi="Aptos"/>
          <w:b/>
          <w:color w:val="000000"/>
          <w:sz w:val="30"/>
        </w:rPr>
        <w:t>NEUBERGER BERMAN GLOBAL EQUITY MEGATRENDS "A" (USD) ACC</w:t>
      </w:r>
    </w:p>
    <w:p>
      <w:pPr>
        <w:spacing w:after="80"/>
      </w:pPr>
      <w:r>
        <w:rPr>
          <w:rFonts w:ascii="Aptos" w:hAnsi="Aptos"/>
          <w:b w:val="0"/>
          <w:color w:val="5D6E89"/>
          <w:sz w:val="15"/>
        </w:rPr>
        <w:t>ISIN IE00BFMHRM44    |    EQ - Global Small Cap</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apreciación de capital de largo plazo mediante una cartera global all-cap de alta convicción, normalmente de 20-30 compañías, respaldadas por múltiples tendencias seculares globales. La estrategia es flexible por región, capitalización y estilo, no está condicionada por el benchmark y enfatiza disciplina de valuación y gestión de riesgos.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1.250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7,80%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-6,37%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2,22%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14,61%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6,86%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19,29%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9,28%</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0,85%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2,00%</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Global Small Cap</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Distribución de ingresos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desarrollados ex-Estados Unidos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emergentes y 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17%</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Perrigo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5,03%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Wuxi Biologics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5,01%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Zeta Global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4,84%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NICE ADR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4,79%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ON Semiconductor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4,69%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Alibaba ADR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4,52%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Pets at Home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4,50%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Expedia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4,49%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Tetra Tech</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4,49%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Chewy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4,36%</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Megatendencias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consumidor global en evolución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21,40%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sistemas inteligentes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18,22%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eficiencia energética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18,20%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salud y bienestar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14,01%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personalización de medios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9,55%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humanización de mascotas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8,87%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valor creciente del agua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4,49%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infraestructura energética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4,14%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1,13%</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GLOBAL</w:t>
      </w:r>
    </w:p>
    <w:p>
      <w:pPr>
        <w:pStyle w:val="Heading1"/>
        <w:spacing w:before="0" w:after="20"/>
      </w:pPr>
      <w:r>
        <w:rPr>
          <w:rFonts w:ascii="Aptos" w:hAnsi="Aptos"/>
          <w:b/>
          <w:color w:val="000000"/>
          <w:sz w:val="30"/>
        </w:rPr>
        <w:t>WELLINGTON GLOBAL QUALITY GROWTH "D" (USD) ACC</w:t>
      </w:r>
    </w:p>
    <w:p>
      <w:pPr>
        <w:spacing w:after="80"/>
      </w:pPr>
      <w:r>
        <w:rPr>
          <w:rFonts w:ascii="Aptos" w:hAnsi="Aptos"/>
          <w:b w:val="0"/>
          <w:color w:val="5D6E89"/>
          <w:sz w:val="15"/>
        </w:rPr>
        <w:t>ISIN LU1084869962    |    EQ - Global Growth</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retorno total de largo plazo mediante acciones globales seleccionadas equilibrando crecimiento, valuación, retorno sobre el capital y calidad. Gestión activa contra MSCI ACWI.</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7.200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6,76%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-1,58%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-2,16%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12,90%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10,09%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18,76%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7,55%</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1,65%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Global Growth</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29,4%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comunicaciones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9,3%</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real estate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Regiones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Norteamérica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Europa desarrollada y Medio Oriente ex-Reino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emergentes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Japón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Asia-Pacífico desarrollada ex-Japón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Taiwan Semiconductor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3,3%</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Mastercard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Welltower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Meta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Eli Lilly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2,1%</w:t>
                  </w:r>
                </w:p>
              </w:tc>
            </w:tr>
          </w:tbl>
          <w:p/>
          <w:p>
            <w:pPr>
              <w:spacing w:after="0"/>
            </w:pPr>
          </w:p>
        </w:tc>
      </w:tr>
    </w:tbl>
    <w:p>
      <w:pPr>
        <w:spacing w:after="0" w:before="40" w:line="240" w:lineRule="auto"/>
        <w:jc w:val="left"/>
      </w:pPr>
      <w:r>
        <w:rPr>
          <w:rFonts w:ascii="Aptos" w:hAnsi="Aptos"/>
          <w:b w:val="0"/>
          <w:color w:val="5D6E89"/>
          <w:sz w:val="13"/>
        </w:rPr>
        <w:t>Datos adicionales: Número de acciones: 76. Top 10: 32,7%. Capitalización media ponderada: USD 1,1 billones.</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GLOBAL</w:t>
      </w:r>
    </w:p>
    <w:p>
      <w:pPr>
        <w:pStyle w:val="Heading1"/>
        <w:spacing w:before="0" w:after="20"/>
      </w:pPr>
      <w:r>
        <w:rPr>
          <w:rFonts w:ascii="Aptos" w:hAnsi="Aptos"/>
          <w:b/>
          <w:color w:val="000000"/>
          <w:sz w:val="30"/>
        </w:rPr>
        <w:t>JPM GLOBAL SELECT EQUITY "A" ACC</w:t>
      </w:r>
    </w:p>
    <w:p>
      <w:pPr>
        <w:spacing w:after="80"/>
      </w:pPr>
      <w:r>
        <w:rPr>
          <w:rFonts w:ascii="Aptos" w:hAnsi="Aptos"/>
          <w:b w:val="0"/>
          <w:color w:val="5D6E89"/>
          <w:sz w:val="15"/>
        </w:rPr>
        <w:t>ISIN LU0070217475    |    EQ - Global Blend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superar al mercado global de renta variable mediante una cartera de compañías internacionales seleccionadas con un proceso fundamental bottom-up y análisis individual realizado por el equipo global de research.</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6.899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5,76%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-1,13%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2,40%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12,06%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7,18%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15,17%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9,16%</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1,80%</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Global Blend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37"/>
        <w:gridCol w:w="4737"/>
        <w:gridCol w:w="4737"/>
        <w:gridCol w:w="4737"/>
      </w:tblGrid>
      <w:tr>
        <w:tc>
          <w:tcPr>
            <w:tcW w:type="dxa" w:w="468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semiconductores y hardware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media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13,4%</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bancos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software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industriales cíclicos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pharma/medtech</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7,3%</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retail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servicios 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automóviles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3,6%</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Regiones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74,0%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Europa y Medio Oriente ex-Reino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11,2%</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Japón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emergentes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3,8%</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Pacífico ex-Japón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0,8%</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7,9%</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4,8%</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4,0%</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Mastercard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3,1%</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Johnson &amp; Johnson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2,7%</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ASML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Safran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NextEra Energy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w:t>
                  </w:r>
                </w:p>
              </w:tc>
            </w:tr>
          </w:tbl>
          <w:p/>
          <w:p>
            <w:pPr>
              <w:spacing w:after="0"/>
            </w:pPr>
          </w:p>
        </w:tc>
        <w:tc>
          <w:tcPr>
            <w:tcW w:type="dxa" w:w="4680"/>
            <w:tcMar>
              <w:top w:w="30" w:type="dxa"/>
              <w:start w:w="40" w:type="dxa"/>
              <w:bottom w:w="30" w:type="dxa"/>
              <w:end w:w="40" w:type="dxa"/>
            </w:tcMar>
          </w:tcPr>
          <w:p>
            <w:pPr>
              <w:spacing w:after="40"/>
            </w:pPr>
            <w:r>
              <w:rPr>
                <w:rFonts w:ascii="Aptos" w:hAnsi="Aptos"/>
                <w:b/>
                <w:color w:val="2864FF"/>
                <w:sz w:val="16"/>
              </w:rPr>
              <w:t>Capitalización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080"/>
            </w:tblGrid>
            <w:tr>
              <w:tc>
                <w:tcPr>
                  <w:tcW w:type="dxa" w:w="234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234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más de USD 100.000 millones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77,20%</w:t>
                  </w:r>
                </w:p>
              </w:tc>
            </w:tr>
            <w:tr>
              <w:tc>
                <w:tcPr>
                  <w:tcW w:type="dxa" w:w="345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USD 10.000-100.000 millones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21,75%</w:t>
                  </w:r>
                </w:p>
              </w:tc>
            </w:tr>
            <w:tr>
              <w:tc>
                <w:tcPr>
                  <w:tcW w:type="dxa" w:w="3456"/>
                  <w:vAlign w:val="center"/>
                  <w:tcMar>
                    <w:top w:w="55" w:type="dxa"/>
                    <w:start w:w="70" w:type="dxa"/>
                    <w:bottom w:w="55" w:type="dxa"/>
                    <w:end w:w="70" w:type="dxa"/>
                  </w:tcMar>
                </w:tcPr>
                <w:p>
                  <w:pPr>
                    <w:spacing w:after="0" w:line="240" w:lineRule="auto"/>
                    <w:jc w:val="left"/>
                  </w:pPr>
                  <w:r>
                    <w:rPr>
                      <w:rFonts w:ascii="Aptos" w:hAnsi="Aptos"/>
                      <w:b w:val="0"/>
                      <w:color w:val="000000"/>
                      <w:sz w:val="14"/>
                    </w:rPr>
                    <w:t>USD 1.000-10.000 millones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1,05%</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RENTA VARIABLE US</w:t>
      </w:r>
    </w:p>
    <w:p>
      <w:pPr>
        <w:pStyle w:val="Heading1"/>
        <w:spacing w:before="0" w:after="20"/>
      </w:pPr>
      <w:r>
        <w:rPr>
          <w:rFonts w:ascii="Aptos" w:hAnsi="Aptos"/>
          <w:b/>
          <w:color w:val="000000"/>
          <w:sz w:val="30"/>
        </w:rPr>
        <w:t>JUPITER MERIAN NORTH AMERICAN EQUITY "L" (USD) ACC</w:t>
      </w:r>
    </w:p>
    <w:p>
      <w:pPr>
        <w:spacing w:after="80"/>
      </w:pPr>
      <w:r>
        <w:rPr>
          <w:rFonts w:ascii="Aptos" w:hAnsi="Aptos"/>
          <w:b w:val="0"/>
          <w:color w:val="5D6E89"/>
          <w:sz w:val="15"/>
        </w:rPr>
        <w:t>ISIN IE0031385887    |    EQ - US Large Cap Blend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crecimiento de capital de largo plazo mediante acciones y valores similares de compañías listadas o ubicadas en Estados Unidos y Canadá. Invierte al menos 70% en ambos mercados y puede mantener hasta 15% en REITs. Busca superar neto de comisiones al MSCI North America Net Total Return en períodos móviles de tres años.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367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14,80%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-2,66%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3,95%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21,79%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19,55%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23,36%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13,09%</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1,65%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US Large Cap Blend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75"/>
        <w:gridCol w:w="9475"/>
      </w:tblGrid>
      <w:tr>
        <w:tc>
          <w:tcPr>
            <w:tcW w:type="dxa" w:w="9360"/>
            <w:tcMar>
              <w:top w:w="30" w:type="dxa"/>
              <w:start w:w="40" w:type="dxa"/>
              <w:bottom w:w="30" w:type="dxa"/>
              <w:end w:w="40" w:type="dxa"/>
            </w:tcMar>
          </w:tcPr>
          <w:p>
            <w:pPr>
              <w:spacing w:after="40"/>
            </w:pPr>
            <w:r>
              <w:rPr>
                <w:rFonts w:ascii="Aptos" w:hAnsi="Aptos"/>
                <w:b/>
                <w:color w:val="2864FF"/>
                <w:sz w:val="16"/>
              </w:rPr>
              <w:t>Sectores, exposición larga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32,9%</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comunicaciones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11,9%</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11,7%</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11,0%</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9,5%</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4,9%</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4,0%</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3,8%</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real estate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w:t>
                  </w:r>
                </w:p>
              </w:tc>
            </w:tr>
          </w:tbl>
          <w:p/>
          <w:p>
            <w:pPr>
              <w:spacing w:after="0"/>
            </w:pPr>
          </w:p>
        </w:tc>
        <w:tc>
          <w:tcPr>
            <w:tcW w:type="dxa" w:w="936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6,7%</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5,1%</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3,7%</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3,0%</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Micron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Alphabet C</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Salesforce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Alphabet 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1,6%</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Netflix</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w:t>
                  </w:r>
                </w:p>
              </w:tc>
            </w:tr>
          </w:tbl>
          <w:p/>
          <w:p>
            <w:pPr>
              <w:spacing w:after="0"/>
            </w:pPr>
          </w:p>
        </w:tc>
      </w:tr>
    </w:tbl>
    <w:p>
      <w:pPr>
        <w:spacing w:after="0" w:before="40" w:line="240" w:lineRule="auto"/>
        <w:jc w:val="left"/>
      </w:pPr>
      <w:r>
        <w:rPr>
          <w:rFonts w:ascii="Aptos" w:hAnsi="Aptos"/>
          <w:b w:val="0"/>
          <w:color w:val="5D6E89"/>
          <w:sz w:val="13"/>
        </w:rPr>
        <w:t>Datos adicionales: Número de posiciones: 240. Nota de fuente: la caja -0,4% y exposición larga 100,4% son exposiciones netas resultantes de la operatoria; no deben presentarse como un error de suma.</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RENTA VARIABLE US</w:t>
      </w:r>
    </w:p>
    <w:p>
      <w:pPr>
        <w:pStyle w:val="Heading1"/>
        <w:spacing w:before="0" w:after="20"/>
      </w:pPr>
      <w:r>
        <w:rPr>
          <w:rFonts w:ascii="Aptos" w:hAnsi="Aptos"/>
          <w:b/>
          <w:color w:val="000000"/>
          <w:sz w:val="30"/>
        </w:rPr>
        <w:t>FTGF PUTNAM US RESEARCH FUND "A" (USD) ACC</w:t>
      </w:r>
    </w:p>
    <w:p>
      <w:pPr>
        <w:spacing w:after="80"/>
      </w:pPr>
      <w:r>
        <w:rPr>
          <w:rFonts w:ascii="Aptos" w:hAnsi="Aptos"/>
          <w:b w:val="0"/>
          <w:color w:val="5D6E89"/>
          <w:sz w:val="15"/>
        </w:rPr>
        <w:t>ISIN IE00B1BXHZ80    |    EQ - US Large Cap Blend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apreciación de capital de largo plazo invirtiendo principalmente en acciones y valores relacionados de grandes compañías estadounidenses. Combina un núcleo de acciones growth y value y utiliza el S&amp;P 500 como comparador, no como restricción.</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4.940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14,31%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-0,08%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2,76%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18,43%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17,70%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22,12%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12,53%</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1,25%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US Large Cap Blend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tecnología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38,57%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11,98%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9,63%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comunicaciones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9,37%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8,22%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6,17%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3,67%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6,94%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 y otros activos netos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1,31%</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7,57%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7,50%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7,19%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4,90%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Lam Research</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Meta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AMD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Marvell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1,85%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Cisco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1,61%</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Capitalización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más de USD 150.000 millones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74,81%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USD 35.000-150.000 millones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18,91%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USD 6.500-35.000 millones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6,23%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menos de USD 2.000 millones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0,05%</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RENTA VARIABLE US</w:t>
      </w:r>
    </w:p>
    <w:p>
      <w:pPr>
        <w:pStyle w:val="Heading1"/>
        <w:spacing w:before="0" w:after="20"/>
      </w:pPr>
      <w:r>
        <w:rPr>
          <w:rFonts w:ascii="Aptos" w:hAnsi="Aptos"/>
          <w:b/>
          <w:color w:val="000000"/>
          <w:sz w:val="30"/>
        </w:rPr>
        <w:t>PIMCO STOCKS PLUS "E" (USD) ACC</w:t>
      </w:r>
    </w:p>
    <w:p>
      <w:pPr>
        <w:spacing w:after="80"/>
      </w:pPr>
      <w:r>
        <w:rPr>
          <w:rFonts w:ascii="Aptos" w:hAnsi="Aptos"/>
          <w:b w:val="0"/>
          <w:color w:val="5D6E89"/>
          <w:sz w:val="15"/>
        </w:rPr>
        <w:t>ISIN IE00B1D7YP71    |    EQ - US Large Cap Blend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exposición al S&amp;P 500 mediante futuros y swaps no apalancados, respaldados por una cartera gestionada activamente de renta fija de corta duración. Busca superar al índice generando retorno adicional sobre la tasa del mercado monetario con la cartera de colateral. No es un fondo tradicional de selección de acciones.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6.900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11,38%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-0,89%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17,19%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14,14%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21,49%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11,41%</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1,45%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US Large Cap Blend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50"/>
      </w:tblGrid>
      <w:tr>
        <w:tc>
          <w:tcPr>
            <w:tcW w:type="dxa" w:w="18720"/>
            <w:tcMar>
              <w:top w:w="30" w:type="dxa"/>
              <w:start w:w="40" w:type="dxa"/>
              <w:bottom w:w="30" w:type="dxa"/>
              <w:end w:w="40" w:type="dxa"/>
            </w:tcMar>
          </w:tcPr>
          <w:p>
            <w:pPr>
              <w:spacing w:after="40"/>
            </w:pPr>
            <w:r>
              <w:rPr>
                <w:rFonts w:ascii="Aptos" w:hAnsi="Aptos"/>
                <w:b/>
                <w:color w:val="2864FF"/>
                <w:sz w:val="16"/>
              </w:rPr>
              <w:t>Perfil de vencimientos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96"/>
              <w:gridCol w:w="1080"/>
            </w:tblGrid>
            <w:tr>
              <w:tc>
                <w:tcPr>
                  <w:tcW w:type="dxa" w:w="936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936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17496"/>
                  <w:vAlign w:val="center"/>
                  <w:tcMar>
                    <w:top w:w="55" w:type="dxa"/>
                    <w:start w:w="70" w:type="dxa"/>
                    <w:bottom w:w="55" w:type="dxa"/>
                    <w:end w:w="70" w:type="dxa"/>
                  </w:tcMar>
                </w:tcPr>
                <w:p>
                  <w:pPr>
                    <w:spacing w:after="0" w:line="240" w:lineRule="auto"/>
                    <w:jc w:val="left"/>
                  </w:pPr>
                  <w:r>
                    <w:rPr>
                      <w:rFonts w:ascii="Aptos" w:hAnsi="Aptos"/>
                      <w:b w:val="0"/>
                      <w:color w:val="000000"/>
                      <w:sz w:val="14"/>
                    </w:rPr>
                    <w:t>0-1 año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69,7%</w:t>
                  </w:r>
                </w:p>
              </w:tc>
            </w:tr>
            <w:tr>
              <w:tc>
                <w:tcPr>
                  <w:tcW w:type="dxa" w:w="1749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1-3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22,5%</w:t>
                  </w:r>
                </w:p>
              </w:tc>
            </w:tr>
            <w:tr>
              <w:tc>
                <w:tcPr>
                  <w:tcW w:type="dxa" w:w="17496"/>
                  <w:vAlign w:val="center"/>
                  <w:tcMar>
                    <w:top w:w="55" w:type="dxa"/>
                    <w:start w:w="70" w:type="dxa"/>
                    <w:bottom w:w="55" w:type="dxa"/>
                    <w:end w:w="70" w:type="dxa"/>
                  </w:tcMar>
                </w:tcPr>
                <w:p>
                  <w:pPr>
                    <w:spacing w:after="0" w:line="240" w:lineRule="auto"/>
                    <w:jc w:val="left"/>
                  </w:pPr>
                  <w:r>
                    <w:rPr>
                      <w:rFonts w:ascii="Aptos" w:hAnsi="Aptos"/>
                      <w:b w:val="0"/>
                      <w:color w:val="000000"/>
                      <w:sz w:val="14"/>
                    </w:rPr>
                    <w:t>3-5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6,7%</w:t>
                  </w:r>
                </w:p>
              </w:tc>
            </w:tr>
            <w:tr>
              <w:tc>
                <w:tcPr>
                  <w:tcW w:type="dxa" w:w="1749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5-10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w:t>
                  </w:r>
                </w:p>
              </w:tc>
            </w:tr>
            <w:tr>
              <w:tc>
                <w:tcPr>
                  <w:tcW w:type="dxa" w:w="17496"/>
                  <w:vAlign w:val="center"/>
                  <w:tcMar>
                    <w:top w:w="55" w:type="dxa"/>
                    <w:start w:w="70" w:type="dxa"/>
                    <w:bottom w:w="55" w:type="dxa"/>
                    <w:end w:w="70" w:type="dxa"/>
                  </w:tcMar>
                </w:tcPr>
                <w:p>
                  <w:pPr>
                    <w:spacing w:after="0" w:line="240" w:lineRule="auto"/>
                    <w:jc w:val="left"/>
                  </w:pPr>
                  <w:r>
                    <w:rPr>
                      <w:rFonts w:ascii="Aptos" w:hAnsi="Aptos"/>
                      <w:b w:val="0"/>
                      <w:color w:val="000000"/>
                      <w:sz w:val="14"/>
                    </w:rPr>
                    <w:t>10-20 años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w:t>
                  </w:r>
                </w:p>
              </w:tc>
            </w:tr>
            <w:tr>
              <w:tc>
                <w:tcPr>
                  <w:tcW w:type="dxa" w:w="1749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más de 20 años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w:t>
                  </w:r>
                </w:p>
              </w:tc>
            </w:tr>
          </w:tbl>
          <w:p/>
          <w:p>
            <w:pPr>
              <w:spacing w:after="0"/>
            </w:pPr>
          </w:p>
        </w:tc>
      </w:tr>
    </w:tbl>
    <w:p>
      <w:pPr>
        <w:spacing w:after="0" w:before="40" w:line="240" w:lineRule="auto"/>
        <w:jc w:val="left"/>
      </w:pPr>
      <w:r>
        <w:rPr>
          <w:rFonts w:ascii="Aptos" w:hAnsi="Aptos"/>
          <w:b w:val="0"/>
          <w:color w:val="5D6E89"/>
          <w:sz w:val="13"/>
        </w:rPr>
        <w:t>Nota de fuente: el Top 10 del colateral está fechado 30/06/2026. El resto de métricas cierra 31/08/2026.</w:t>
      </w:r>
    </w:p>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RENTA VARIABLE US</w:t>
      </w:r>
    </w:p>
    <w:p>
      <w:pPr>
        <w:pStyle w:val="Heading1"/>
        <w:spacing w:before="0" w:after="20"/>
      </w:pPr>
      <w:r>
        <w:rPr>
          <w:rFonts w:ascii="Aptos" w:hAnsi="Aptos"/>
          <w:b/>
          <w:color w:val="000000"/>
          <w:sz w:val="30"/>
        </w:rPr>
        <w:t>JPM US SELECT EQUITY "A" ACC</w:t>
      </w:r>
    </w:p>
    <w:p>
      <w:pPr>
        <w:spacing w:after="80"/>
      </w:pPr>
      <w:r>
        <w:rPr>
          <w:rFonts w:ascii="Aptos" w:hAnsi="Aptos"/>
          <w:b w:val="0"/>
          <w:color w:val="5D6E89"/>
          <w:sz w:val="15"/>
        </w:rPr>
        <w:t>ISIN LU0070214290    |    EQ - US Large Cap Blend</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superar al mercado de renta variable estadounidense invirtiendo principalmente en compañías de Estados Unidos. El proceso está impulsado por research fundamental sobre beneficios y flujos de caja futuros realizado por analistas sectoriales especializados.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7.582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4,63%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-0,45%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1,37%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16,05%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5,80%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17,05%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9,54%</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1,80%</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US Large Cap Blend</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75"/>
        <w:gridCol w:w="9475"/>
      </w:tblGrid>
      <w:tr>
        <w:tc>
          <w:tcPr>
            <w:tcW w:type="dxa" w:w="936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semiconductores y hardware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28,9%</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media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16,4%</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industriales cíclicos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8,0%</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pharma/medtech</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7,6%</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grandes bancos y brokers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6,9%</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software y servicios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6,8%</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retail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5,3%</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financieros no bancarios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4,4%</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pagos y servicios empresariales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4,2%</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4,1%</w:t>
                  </w:r>
                </w:p>
              </w:tc>
            </w:tr>
          </w:tbl>
          <w:p/>
          <w:p>
            <w:pPr>
              <w:spacing w:after="0"/>
            </w:pPr>
          </w:p>
        </w:tc>
        <w:tc>
          <w:tcPr>
            <w:tcW w:type="dxa" w:w="936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8,4%</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6,2%</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5,1%</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5,0%</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3,5%</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Mastercard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NextEra Energy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Wells Fargo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2,6%</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GROWTH</w:t>
      </w:r>
    </w:p>
    <w:p>
      <w:pPr>
        <w:pStyle w:val="Heading1"/>
        <w:spacing w:before="0" w:after="20"/>
      </w:pPr>
      <w:r>
        <w:rPr>
          <w:rFonts w:ascii="Aptos" w:hAnsi="Aptos"/>
          <w:b/>
          <w:color w:val="000000"/>
          <w:sz w:val="30"/>
        </w:rPr>
        <w:t>FRANKLIN TECHNOLOGY "A" ACC</w:t>
      </w:r>
    </w:p>
    <w:p>
      <w:pPr>
        <w:spacing w:after="80"/>
      </w:pPr>
      <w:r>
        <w:rPr>
          <w:rFonts w:ascii="Aptos" w:hAnsi="Aptos"/>
          <w:b w:val="0"/>
          <w:color w:val="5D6E89"/>
          <w:sz w:val="15"/>
        </w:rPr>
        <w:t>ISIN LU0109392836    |    EQ - Technology</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crecimiento de largo plazo, principalmente mediante apreciación de capital. Invierte globalmente en compañías tecnológicas de cualquier capitalización, incluyendo semiconductores, software, hardware, internet, telecomunicaciones y servicios de información.</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15.430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30,59%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5,88%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-1,17%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41,45%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29,92%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31,88%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11,98%</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0,50%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1,81%</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Technology</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Sectores/subsectores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semiconductores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36,75%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software de sistemas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9,96%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medios interactivos y servicios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8,97%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 y equipos para semiconductores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8,27%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hardware, almacenamiento y periféricos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6,40%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infraestructura y servicios de internet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6,05%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software de aplicaciones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4,76%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equipos de comunicaciones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15,01%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1,25%</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79,30%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Taiwán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5,41%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Corea del Sur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4,55%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Países Bajos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3,22%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Canadá</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2,12%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China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Japón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0,91%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Alemania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0,87%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0,79%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1,25%</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8,42%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5,78%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Taiwan Semiconductor</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5,41%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5,20%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5,18%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Micron Technology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4,38%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Apple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3,42%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Advanced Micro Devices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Meta Platforms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3,18%</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GROWTH</w:t>
      </w:r>
    </w:p>
    <w:p>
      <w:pPr>
        <w:pStyle w:val="Heading1"/>
        <w:spacing w:before="0" w:after="20"/>
      </w:pPr>
      <w:r>
        <w:rPr>
          <w:rFonts w:ascii="Aptos" w:hAnsi="Aptos"/>
          <w:b/>
          <w:color w:val="000000"/>
          <w:sz w:val="30"/>
        </w:rPr>
        <w:t>JANUS HENDERSON HORIZON GLOBAL TECHNOLOGY LEADERS "A2" (USD) ACC</w:t>
      </w:r>
    </w:p>
    <w:p>
      <w:pPr>
        <w:spacing w:after="80"/>
      </w:pPr>
      <w:r>
        <w:rPr>
          <w:rFonts w:ascii="Aptos" w:hAnsi="Aptos"/>
          <w:b w:val="0"/>
          <w:color w:val="5D6E89"/>
          <w:sz w:val="15"/>
        </w:rPr>
        <w:t>ISIN LU0070992663    |    EQ - Technology</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crecimiento de capital a largo plazo superando, después de gastos, al índice combinado MSCI ACWI Information Technology + MSCI ACWI Communication Services en períodos de cinco años. Invierte al menos 90% en acciones y valores vinculados a compañías globales relacionadas con la tecnología o beneficiarias de ella; la estrategia procura identificar líderes que impulsen o popularicen nuevas tecnologías.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8.110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29,39%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4,14%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-1,27%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40,24%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31,41%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34,39%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16,90%</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0,60%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1,89%</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BCV, 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Technology</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Subsectores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semiconductores y equipos relacionados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46,76%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medios interactivos y servicios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10,64%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software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9,48%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equipos, instrumentos y componentes electrónicos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9,05%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comercio minorista generalizado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6,41%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equipos de comunicaciones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5,02%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hardware, almacenamiento y periféricos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3,40%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equipos eléctricos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2,46%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servicios de TI</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entretenimiento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1,20%</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72,85%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Taiwán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8,70%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Países Bajos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4,36%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Corea del Sur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4,09%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China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3,18%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Alemania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Japón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1,22%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Suecia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0,48%</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NVIDIA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8,93%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Taiwan Semiconductor Manufacturing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7,78%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Alphabet</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6,49%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Microsoft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5,57%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Amazon</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5,43%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Broadcom</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5,02%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SK hynix</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4,09%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Micron Technology</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3,53%</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Meta Platforms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2,92%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ASML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2,62%</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MERCADOS EMERGENTES</w:t>
      </w:r>
    </w:p>
    <w:p>
      <w:pPr>
        <w:pStyle w:val="Heading1"/>
        <w:spacing w:before="0" w:after="20"/>
      </w:pPr>
      <w:r>
        <w:rPr>
          <w:rFonts w:ascii="Aptos" w:hAnsi="Aptos"/>
          <w:b/>
          <w:color w:val="000000"/>
          <w:sz w:val="30"/>
        </w:rPr>
        <w:t>TEMPLETON LATIN AMERICA "A" ACC</w:t>
      </w:r>
    </w:p>
    <w:p>
      <w:pPr>
        <w:spacing w:after="80"/>
      </w:pPr>
      <w:r>
        <w:rPr>
          <w:rFonts w:ascii="Aptos" w:hAnsi="Aptos"/>
          <w:b w:val="0"/>
          <w:color w:val="5D6E89"/>
          <w:sz w:val="15"/>
        </w:rPr>
        <w:t>ISIN LU0128526570    |    EQ - LATAM</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crecimiento de largo plazo mediante apreciación de capital, invirtiendo principalmente en acciones de compañías de cualquier capitalización ubicadas o con actividad principal en Latinoamérica.</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603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16,45%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4,55%</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-1,28%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23,11%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14,20%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11,03%</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2,26%</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LATAM</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financieras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33,17%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15,43%</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14,17%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industriales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12,50%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9,98%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utilities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8,02%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salud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2,45%</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Brasil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58,56%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México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28,47%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Chile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Perú</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4,73%</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2,45%</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Petrobras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9,98%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Itaúsa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7,31%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Vale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6,54%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Axia Energia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6,10%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Grupo México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5,91%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Grupo Financiero Banorte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4,77%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Kimberly-Clark de México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4,55%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Itaú Unibanco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4,41%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B3</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4,40%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Rumo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4,09%</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MERCADOS EMERGENTES</w:t>
      </w:r>
    </w:p>
    <w:p>
      <w:pPr>
        <w:pStyle w:val="Heading1"/>
        <w:spacing w:before="0" w:after="20"/>
      </w:pPr>
      <w:r>
        <w:rPr>
          <w:rFonts w:ascii="Aptos" w:hAnsi="Aptos"/>
          <w:b/>
          <w:color w:val="000000"/>
          <w:sz w:val="30"/>
        </w:rPr>
        <w:t>JPM LATIN AMERICA EQUITY "A" ACC</w:t>
      </w:r>
    </w:p>
    <w:p>
      <w:pPr>
        <w:spacing w:after="80"/>
      </w:pPr>
      <w:r>
        <w:rPr>
          <w:rFonts w:ascii="Aptos" w:hAnsi="Aptos"/>
          <w:b w:val="0"/>
          <w:color w:val="5D6E89"/>
          <w:sz w:val="15"/>
        </w:rPr>
        <w:t>ISIN LU0210535034    |    EQ - LATAM</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crecimiento de capital de largo plazo mediante inversión principalmente en compañías latinoamericanas. Combina selección fundamental bottom-up con visión top-down por países y un enfoque de alta convicción orientado a empresas de calidad y crecimiento sostenible.</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562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9,79%</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-0,24%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1,40%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-1,31%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15,96%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13,63%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10,35%</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0,70%</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1,80%</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LATAM</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Sectores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financieras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materiales básicos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energía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servicios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industria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consumo discrecional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consumo básico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servicios de comunicación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inmobiliarias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0,4%</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0,4%</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Brasil</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54,9%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México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19,2%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Perú</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8,5%</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5,1%</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Colombia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Argentina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Chile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Luxemburgo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1,4%</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España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Panamá</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1,1%</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 (31/08/2026)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Petrobras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Grupo México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NU Holdings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6,9%</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Vale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6,5%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Itaú Unibanco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6,2%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Grupo Financiero Banorte</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4,8%</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Credicorp</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Banco BTG Pactual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4,0%</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Centrais Elétricas Brasileiras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Sabesp</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2,8%</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COMMODITIES</w:t>
      </w:r>
    </w:p>
    <w:p>
      <w:pPr>
        <w:pStyle w:val="Heading1"/>
        <w:spacing w:before="0" w:after="20"/>
      </w:pPr>
      <w:r>
        <w:rPr>
          <w:rFonts w:ascii="Aptos" w:hAnsi="Aptos"/>
          <w:b/>
          <w:color w:val="000000"/>
          <w:sz w:val="30"/>
        </w:rPr>
        <w:t>FRANKLIN GOLD &amp; PRECIOUS METALS "A" (USD) ACC</w:t>
      </w:r>
    </w:p>
    <w:p>
      <w:pPr>
        <w:spacing w:after="80"/>
      </w:pPr>
      <w:r>
        <w:rPr>
          <w:rFonts w:ascii="Aptos" w:hAnsi="Aptos"/>
          <w:b w:val="0"/>
          <w:color w:val="5D6E89"/>
          <w:sz w:val="15"/>
        </w:rPr>
        <w:t>ISIN LU0496367417    |    EQ - Gold and Precious Metals</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crecimiento de largo plazo y, secundariamente, ingresos. Invierte globalmente, incluidos mercados emergentes, en compañías de cualquier capitalización dedicadas a minería, procesamiento o comercialización de oro y otros metales preciosos.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2.140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3,53%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-10,06%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15,34%</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-2,06%</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25,82%</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58,98%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25,94%</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1,81%</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Gold and Precious Metals</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317"/>
        <w:gridCol w:w="6317"/>
        <w:gridCol w:w="6317"/>
      </w:tblGrid>
      <w:tr>
        <w:tc>
          <w:tcPr>
            <w:tcW w:type="dxa" w:w="6240"/>
            <w:tcMar>
              <w:top w:w="30" w:type="dxa"/>
              <w:start w:w="40" w:type="dxa"/>
              <w:bottom w:w="30" w:type="dxa"/>
              <w:end w:w="40" w:type="dxa"/>
            </w:tcMar>
          </w:tcPr>
          <w:p>
            <w:pPr>
              <w:spacing w:after="40"/>
            </w:pPr>
            <w:r>
              <w:rPr>
                <w:rFonts w:ascii="Aptos" w:hAnsi="Aptos"/>
                <w:b/>
                <w:color w:val="2864FF"/>
                <w:sz w:val="16"/>
              </w:rPr>
              <w:t>Geografía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Canadá</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56,11%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Australia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27,03%</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Estados Unidos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7,47%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Sudáfrica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2,15%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Burkina Faso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1,93%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Brasil</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0,92%</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Turquía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0,83%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Reino Unido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0,55%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0,73%</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2,28%</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Equinox Gold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5,87%</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Newmont</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5,86%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G Mining Ventures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4,91%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Alamos Gold</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4,29%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Barrick Mining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3,90%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AngloGold Ashanti</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2,55%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Agnico Eagle Mines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2,26%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Perseus Mining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2,16%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PDI Gold</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1,91%</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Torex Gold Resources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1,79%</w:t>
                  </w:r>
                </w:p>
              </w:tc>
            </w:tr>
          </w:tbl>
          <w:p/>
          <w:p>
            <w:pPr>
              <w:spacing w:after="0"/>
            </w:pPr>
          </w:p>
        </w:tc>
        <w:tc>
          <w:tcPr>
            <w:tcW w:type="dxa" w:w="6240"/>
            <w:tcMar>
              <w:top w:w="30" w:type="dxa"/>
              <w:start w:w="40" w:type="dxa"/>
              <w:bottom w:w="30" w:type="dxa"/>
              <w:end w:w="40" w:type="dxa"/>
            </w:tcMar>
          </w:tcPr>
          <w:p>
            <w:pPr>
              <w:spacing w:after="40"/>
            </w:pPr>
            <w:r>
              <w:rPr>
                <w:rFonts w:ascii="Aptos" w:hAnsi="Aptos"/>
                <w:b/>
                <w:color w:val="2864FF"/>
                <w:sz w:val="16"/>
              </w:rPr>
              <w:t>Tipo de exposición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6"/>
              <w:gridCol w:w="1080"/>
            </w:tblGrid>
            <w:tr>
              <w:tc>
                <w:tcPr>
                  <w:tcW w:type="dxa" w:w="312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312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minas de oro de larga vida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52,10%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exploración y desarrollo de oro</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23,36%</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metales y minería diversificados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9,88%</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plata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4,37%</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metales y minerales preciosos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3,70%</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minas de oro de vida media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2,05%</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cobre</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1,16%</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exploración y producción de petróleo y gas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1,09%</w:t>
                  </w:r>
                </w:p>
              </w:tc>
            </w:tr>
            <w:tr>
              <w:tc>
                <w:tcPr>
                  <w:tcW w:type="dxa" w:w="5016"/>
                  <w:vAlign w:val="center"/>
                  <w:tcMar>
                    <w:top w:w="55" w:type="dxa"/>
                    <w:start w:w="70" w:type="dxa"/>
                    <w:bottom w:w="55" w:type="dxa"/>
                    <w:end w:w="70" w:type="dxa"/>
                  </w:tcMar>
                </w:tcPr>
                <w:p>
                  <w:pPr>
                    <w:spacing w:after="0" w:line="240" w:lineRule="auto"/>
                    <w:jc w:val="left"/>
                  </w:pPr>
                  <w:r>
                    <w:rPr>
                      <w:rFonts w:ascii="Aptos" w:hAnsi="Aptos"/>
                      <w:b w:val="0"/>
                      <w:color w:val="000000"/>
                      <w:sz w:val="14"/>
                    </w:rPr>
                    <w:t>otros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0,02%</w:t>
                  </w:r>
                </w:p>
              </w:tc>
            </w:tr>
            <w:tr>
              <w:tc>
                <w:tcPr>
                  <w:tcW w:type="dxa" w:w="501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2,28%</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p>
      <w:r>
        <w:br w:type="page"/>
      </w:r>
    </w:p>
    <w:p>
      <w:pPr>
        <w:spacing w:after="20"/>
      </w:pPr>
      <w:r>
        <w:rPr>
          <w:rFonts w:ascii="Aptos" w:hAnsi="Aptos"/>
          <w:b/>
          <w:color w:val="2864FF"/>
          <w:sz w:val="16"/>
        </w:rPr>
        <w:t>RENTA VARIABLE COMMODITIES</w:t>
      </w:r>
    </w:p>
    <w:p>
      <w:pPr>
        <w:pStyle w:val="Heading1"/>
        <w:spacing w:before="0" w:after="20"/>
      </w:pPr>
      <w:r>
        <w:rPr>
          <w:rFonts w:ascii="Aptos" w:hAnsi="Aptos"/>
          <w:b/>
          <w:color w:val="000000"/>
          <w:sz w:val="30"/>
        </w:rPr>
        <w:t>JUPITER GOLD &amp; SILVER FUND L USD ACC</w:t>
      </w:r>
    </w:p>
    <w:p>
      <w:pPr>
        <w:spacing w:after="80"/>
      </w:pPr>
      <w:r>
        <w:rPr>
          <w:rFonts w:ascii="Aptos" w:hAnsi="Aptos"/>
          <w:b w:val="0"/>
          <w:color w:val="5D6E89"/>
          <w:sz w:val="15"/>
        </w:rPr>
        <w:t>ISIN IE00BYVJR809    |    EQ - Gold and Precious Metals</w:t>
      </w:r>
    </w:p>
    <w:p>
      <w:pPr>
        <w:pStyle w:val="Heading3"/>
        <w:spacing w:before="0" w:after="100"/>
      </w:pPr>
      <w:r>
        <w:t>Objetivo y política de inversión</w:t>
      </w:r>
    </w:p>
    <w:p>
      <w:pPr>
        <w:spacing w:after="80" w:before="0" w:line="240" w:lineRule="auto"/>
        <w:jc w:val="left"/>
      </w:pPr>
      <w:r>
        <w:rPr>
          <w:rFonts w:ascii="Aptos" w:hAnsi="Aptos"/>
          <w:b w:val="0"/>
          <w:color w:val="000000"/>
          <w:sz w:val="16"/>
        </w:rPr>
        <w:t>Busca retorno total mediante inversión predominante en acciones de compañías expuestas al oro y la plata. Invierte al menos 70% en compañías globales relacionadas con minería de oro/plata o con tenencia segura de bullion; procura superar, neto de comisiones, un benchmark compuesto 50% oro spot y 50% FTSE Gold Mines en períodos móviles de tres años.</w:t>
      </w:r>
    </w:p>
    <w:p>
      <w:pPr>
        <w:pStyle w:val="Heading3"/>
        <w:spacing w:before="0" w:after="100"/>
      </w:pPr>
      <w:r>
        <w:t>Performance al 30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2369"/>
        <w:gridCol w:w="2369"/>
        <w:gridCol w:w="2369"/>
        <w:gridCol w:w="2369"/>
        <w:gridCol w:w="2369"/>
        <w:gridCol w:w="2369"/>
        <w:gridCol w:w="2369"/>
      </w:tblGrid>
      <w:tr>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AUM USD mill.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YTD</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6M</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1Y</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3Y anual.</w:t>
            </w:r>
          </w:p>
        </w:tc>
        <w:tc>
          <w:tcPr>
            <w:tcW w:type="dxa" w:w="2369"/>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5Y anual.</w:t>
            </w:r>
          </w:p>
        </w:tc>
      </w:tr>
      <w:tr>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3.467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-2,88%</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C62828"/>
                <w:sz w:val="16"/>
              </w:rPr>
              <w:t>-13,23%</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17,10%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2,51%</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22,47%</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56,10%</w:t>
            </w:r>
          </w:p>
        </w:tc>
        <w:tc>
          <w:tcPr>
            <w:tcW w:type="dxa" w:w="2369"/>
            <w:vAlign w:val="center"/>
            <w:tcMar>
              <w:top w:w="55" w:type="dxa"/>
              <w:start w:w="70" w:type="dxa"/>
              <w:bottom w:w="55" w:type="dxa"/>
              <w:end w:w="70" w:type="dxa"/>
            </w:tcMar>
          </w:tcPr>
          <w:p>
            <w:pPr>
              <w:spacing w:after="0" w:line="240" w:lineRule="auto"/>
              <w:jc w:val="center"/>
            </w:pPr>
            <w:r>
              <w:rPr>
                <w:rFonts w:ascii="Aptos" w:hAnsi="Aptos"/>
                <w:b/>
                <w:color w:val="000000"/>
                <w:sz w:val="16"/>
              </w:rPr>
              <w:t>25,81%</w:t>
            </w:r>
          </w:p>
        </w:tc>
      </w:tr>
    </w:tbl>
    <w:p>
      <w:pPr>
        <w:spacing w:after="20" w:before="0" w:line="240" w:lineRule="auto"/>
        <w:jc w:val="lef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224"/>
        <w:gridCol w:w="3456"/>
        <w:gridCol w:w="7200"/>
      </w:tblGrid>
      <w:tr>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YTM bruta</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Duración</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Trailer fee</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TER</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Plataformas</w:t>
            </w:r>
          </w:p>
        </w:tc>
        <w:tc>
          <w:tcPr>
            <w:tcW w:type="dxa" w:w="3158"/>
            <w:vAlign w:val="center"/>
            <w:tcMar>
              <w:top w:w="55" w:type="dxa"/>
              <w:start w:w="70" w:type="dxa"/>
              <w:bottom w:w="55" w:type="dxa"/>
              <w:end w:w="70" w:type="dxa"/>
            </w:tcMar>
            <w:shd w:fill="2864FF"/>
          </w:tcPr>
          <w:p>
            <w:pPr>
              <w:spacing w:after="0" w:line="240" w:lineRule="auto"/>
              <w:jc w:val="center"/>
            </w:pPr>
            <w:r>
              <w:rPr>
                <w:rFonts w:ascii="Aptos" w:hAnsi="Aptos"/>
                <w:b/>
                <w:color w:val="FFFFFF"/>
                <w:sz w:val="13"/>
              </w:rPr>
              <w:t>Categoría</w:t>
            </w:r>
          </w:p>
        </w:tc>
      </w:tr>
      <w:tr>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0,75%</w:t>
            </w:r>
          </w:p>
        </w:tc>
        <w:tc>
          <w:tcPr>
            <w:tcW w:type="dxa" w:w="3158"/>
            <w:vAlign w:val="center"/>
            <w:tcMar>
              <w:top w:w="55" w:type="dxa"/>
              <w:start w:w="70" w:type="dxa"/>
              <w:bottom w:w="55" w:type="dxa"/>
              <w:end w:w="70" w:type="dxa"/>
            </w:tcMar>
          </w:tcPr>
          <w:p>
            <w:pPr>
              <w:spacing w:after="0" w:line="240" w:lineRule="auto"/>
              <w:jc w:val="center"/>
            </w:pPr>
            <w:r>
              <w:rPr>
                <w:rFonts w:ascii="Aptos" w:hAnsi="Aptos"/>
                <w:b/>
                <w:color w:val="000000"/>
                <w:sz w:val="14"/>
              </w:rPr>
              <w:t>1,75%</w:t>
            </w:r>
          </w:p>
        </w:tc>
        <w:tc>
          <w:tcPr>
            <w:tcW w:type="dxa" w:w="3158"/>
            <w:vAlign w:val="center"/>
            <w:tcMar>
              <w:top w:w="55" w:type="dxa"/>
              <w:start w:w="70" w:type="dxa"/>
              <w:bottom w:w="55" w:type="dxa"/>
              <w:end w:w="70" w:type="dxa"/>
            </w:tcMar>
          </w:tcPr>
          <w:p>
            <w:pPr>
              <w:spacing w:after="0" w:line="240" w:lineRule="auto"/>
              <w:jc w:val="center"/>
            </w:pPr>
            <w:r>
              <w:rPr>
                <w:rFonts w:ascii="Aptos" w:hAnsi="Aptos"/>
                <w:b w:val="0"/>
                <w:color w:val="000000"/>
                <w:sz w:val="14"/>
              </w:rPr>
              <w:t>BCI, Stonex, Pershing</w:t>
            </w:r>
          </w:p>
        </w:tc>
        <w:tc>
          <w:tcPr>
            <w:tcW w:type="dxa" w:w="3158"/>
            <w:vAlign w:val="center"/>
            <w:tcMar>
              <w:top w:w="55" w:type="dxa"/>
              <w:start w:w="70" w:type="dxa"/>
              <w:bottom w:w="55" w:type="dxa"/>
              <w:end w:w="70" w:type="dxa"/>
            </w:tcMar>
          </w:tcPr>
          <w:p>
            <w:pPr>
              <w:spacing w:after="0" w:line="240" w:lineRule="auto"/>
              <w:jc w:val="left"/>
            </w:pPr>
            <w:r>
              <w:rPr>
                <w:rFonts w:ascii="Aptos" w:hAnsi="Aptos"/>
                <w:b w:val="0"/>
                <w:color w:val="000000"/>
                <w:sz w:val="14"/>
              </w:rPr>
              <w:t>EQ - Gold and Precious Metals</w:t>
            </w:r>
          </w:p>
        </w:tc>
      </w:tr>
    </w:tbl>
    <w:p>
      <w:pPr>
        <w:pStyle w:val="Heading3"/>
        <w:spacing w:before="0" w:after="100"/>
      </w:pPr>
      <w:r>
        <w:t>Composición y exposición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75"/>
        <w:gridCol w:w="9475"/>
      </w:tblGrid>
      <w:tr>
        <w:tc>
          <w:tcPr>
            <w:tcW w:type="dxa" w:w="9360"/>
            <w:tcMar>
              <w:top w:w="30" w:type="dxa"/>
              <w:start w:w="40" w:type="dxa"/>
              <w:bottom w:w="30" w:type="dxa"/>
              <w:end w:w="40" w:type="dxa"/>
            </w:tcMar>
          </w:tcPr>
          <w:p>
            <w:pPr>
              <w:spacing w:after="40"/>
            </w:pPr>
            <w:r>
              <w:rPr>
                <w:rFonts w:ascii="Aptos" w:hAnsi="Aptos"/>
                <w:b/>
                <w:color w:val="2864FF"/>
                <w:sz w:val="16"/>
              </w:rPr>
              <w:t>Principales tenencias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Discovery Mining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9,5%</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Sprott Physical Silver ETV</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7,4%</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Sprott Physical Gold &amp; Silver ETV</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5,8%</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First Majestic Silver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5,5%</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Wheaton Precious Metals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4,8%</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Collective Mining</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4,3%</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Fresnillo</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4,1%</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Sprott Physical Gold ETV</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4,0%</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Hochschild Mining</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3,9%</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Pan American Silver</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3,9%</w:t>
                  </w:r>
                </w:p>
              </w:tc>
            </w:tr>
          </w:tbl>
          <w:p/>
          <w:p>
            <w:pPr>
              <w:spacing w:after="0"/>
            </w:pPr>
          </w:p>
        </w:tc>
        <w:tc>
          <w:tcPr>
            <w:tcW w:type="dxa" w:w="9360"/>
            <w:tcMar>
              <w:top w:w="30" w:type="dxa"/>
              <w:start w:w="40" w:type="dxa"/>
              <w:bottom w:w="30" w:type="dxa"/>
              <w:end w:w="40" w:type="dxa"/>
            </w:tcMar>
          </w:tcPr>
          <w:p>
            <w:pPr>
              <w:spacing w:after="40"/>
            </w:pPr>
            <w:r>
              <w:rPr>
                <w:rFonts w:ascii="Aptos" w:hAnsi="Aptos"/>
                <w:b/>
                <w:color w:val="2864FF"/>
                <w:sz w:val="16"/>
              </w:rPr>
              <w:t>Asignación por activo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6"/>
              <w:gridCol w:w="1080"/>
            </w:tblGrid>
            <w:tr>
              <w:tc>
                <w:tcPr>
                  <w:tcW w:type="dxa" w:w="4680"/>
                  <w:vAlign w:val="center"/>
                  <w:tcMar>
                    <w:top w:w="55" w:type="dxa"/>
                    <w:start w:w="70" w:type="dxa"/>
                    <w:bottom w:w="55" w:type="dxa"/>
                    <w:end w:w="70" w:type="dxa"/>
                  </w:tcMar>
                  <w:shd w:fill="082D6B"/>
                </w:tcPr>
                <w:p>
                  <w:pPr>
                    <w:spacing w:after="0" w:line="240" w:lineRule="auto"/>
                    <w:jc w:val="left"/>
                  </w:pPr>
                  <w:r>
                    <w:rPr>
                      <w:rFonts w:ascii="Aptos" w:hAnsi="Aptos"/>
                      <w:b/>
                      <w:color w:val="FFFFFF"/>
                      <w:sz w:val="14"/>
                    </w:rPr>
                    <w:t>Exposición</w:t>
                  </w:r>
                </w:p>
              </w:tc>
              <w:tc>
                <w:tcPr>
                  <w:tcW w:type="dxa" w:w="4680"/>
                  <w:vAlign w:val="center"/>
                  <w:tcMar>
                    <w:top w:w="55" w:type="dxa"/>
                    <w:start w:w="70" w:type="dxa"/>
                    <w:bottom w:w="55" w:type="dxa"/>
                    <w:end w:w="70" w:type="dxa"/>
                  </w:tcMar>
                  <w:shd w:fill="082D6B"/>
                </w:tcPr>
                <w:p>
                  <w:pPr>
                    <w:spacing w:after="0" w:line="240" w:lineRule="auto"/>
                    <w:jc w:val="center"/>
                  </w:pPr>
                  <w:r>
                    <w:rPr>
                      <w:rFonts w:ascii="Aptos" w:hAnsi="Aptos"/>
                      <w:b/>
                      <w:color w:val="FFFFFF"/>
                      <w:sz w:val="14"/>
                    </w:rPr>
                    <w:t>Peso</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acciones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83,0%</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bullion</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17,1%</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fondos</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0,4%</w:t>
                  </w:r>
                </w:p>
              </w:tc>
            </w:tr>
            <w:tr>
              <w:tc>
                <w:tcPr>
                  <w:tcW w:type="dxa" w:w="8136"/>
                  <w:vAlign w:val="center"/>
                  <w:tcMar>
                    <w:top w:w="55" w:type="dxa"/>
                    <w:start w:w="70" w:type="dxa"/>
                    <w:bottom w:w="55" w:type="dxa"/>
                    <w:end w:w="70" w:type="dxa"/>
                  </w:tcMar>
                  <w:shd w:fill="F5F8FC"/>
                </w:tcPr>
                <w:p>
                  <w:pPr>
                    <w:spacing w:after="0" w:line="240" w:lineRule="auto"/>
                    <w:jc w:val="left"/>
                  </w:pPr>
                  <w:r>
                    <w:rPr>
                      <w:rFonts w:ascii="Aptos" w:hAnsi="Aptos"/>
                      <w:b w:val="0"/>
                      <w:color w:val="000000"/>
                      <w:sz w:val="14"/>
                    </w:rPr>
                    <w:t>warrants</w:t>
                  </w:r>
                </w:p>
              </w:tc>
              <w:tc>
                <w:tcPr>
                  <w:tcW w:type="dxa" w:w="1080"/>
                  <w:vAlign w:val="center"/>
                  <w:tcMar>
                    <w:top w:w="55" w:type="dxa"/>
                    <w:start w:w="70" w:type="dxa"/>
                    <w:bottom w:w="55" w:type="dxa"/>
                    <w:end w:w="70" w:type="dxa"/>
                  </w:tcMar>
                  <w:shd w:fill="F5F8FC"/>
                </w:tcPr>
                <w:p>
                  <w:pPr>
                    <w:spacing w:after="0" w:line="240" w:lineRule="auto"/>
                    <w:jc w:val="right"/>
                  </w:pPr>
                  <w:r>
                    <w:rPr>
                      <w:rFonts w:ascii="Aptos" w:hAnsi="Aptos"/>
                      <w:b/>
                      <w:color w:val="000000"/>
                      <w:sz w:val="14"/>
                    </w:rPr>
                    <w:t>0,0%</w:t>
                  </w:r>
                </w:p>
              </w:tc>
            </w:tr>
            <w:tr>
              <w:tc>
                <w:tcPr>
                  <w:tcW w:type="dxa" w:w="8136"/>
                  <w:vAlign w:val="center"/>
                  <w:tcMar>
                    <w:top w:w="55" w:type="dxa"/>
                    <w:start w:w="70" w:type="dxa"/>
                    <w:bottom w:w="55" w:type="dxa"/>
                    <w:end w:w="70" w:type="dxa"/>
                  </w:tcMar>
                </w:tcPr>
                <w:p>
                  <w:pPr>
                    <w:spacing w:after="0" w:line="240" w:lineRule="auto"/>
                    <w:jc w:val="left"/>
                  </w:pPr>
                  <w:r>
                    <w:rPr>
                      <w:rFonts w:ascii="Aptos" w:hAnsi="Aptos"/>
                      <w:b w:val="0"/>
                      <w:color w:val="000000"/>
                      <w:sz w:val="14"/>
                    </w:rPr>
                    <w:t>caja</w:t>
                  </w:r>
                </w:p>
              </w:tc>
              <w:tc>
                <w:tcPr>
                  <w:tcW w:type="dxa" w:w="1080"/>
                  <w:vAlign w:val="center"/>
                  <w:tcMar>
                    <w:top w:w="55" w:type="dxa"/>
                    <w:start w:w="70" w:type="dxa"/>
                    <w:bottom w:w="55" w:type="dxa"/>
                    <w:end w:w="70" w:type="dxa"/>
                  </w:tcMar>
                </w:tcPr>
                <w:p>
                  <w:pPr>
                    <w:spacing w:after="0" w:line="240" w:lineRule="auto"/>
                    <w:jc w:val="right"/>
                  </w:pPr>
                  <w:r>
                    <w:rPr>
                      <w:rFonts w:ascii="Aptos" w:hAnsi="Aptos"/>
                      <w:b/>
                      <w:color w:val="000000"/>
                      <w:sz w:val="14"/>
                    </w:rPr>
                    <w:t>-0,6%</w:t>
                  </w:r>
                </w:p>
              </w:tc>
            </w:tr>
          </w:tbl>
          <w:p/>
          <w:p>
            <w:pPr>
              <w:spacing w:after="0"/>
            </w:pPr>
          </w:p>
        </w:tc>
      </w:tr>
    </w:tbl>
    <w:p>
      <w:pPr>
        <w:spacing w:after="0" w:before="40" w:line="240" w:lineRule="auto"/>
        <w:jc w:val="right"/>
      </w:pPr>
      <w:r>
        <w:rPr>
          <w:rFonts w:ascii="Aptos" w:hAnsi="Aptos"/>
          <w:b w:val="0"/>
          <w:color w:val="5D6E89"/>
          <w:sz w:val="13"/>
        </w:rPr>
        <w:t>Fuente Factsheet y Reuters  |  Composición al 31/08/2026</w:t>
      </w:r>
    </w:p>
    <w:sectPr w:rsidR="00FC693F" w:rsidRPr="0006063C" w:rsidSect="00034616">
      <w:headerReference w:type="default" r:id="rId9"/>
      <w:footerReference w:type="default" r:id="rId10"/>
      <w:pgSz w:w="20160" w:h="12240" w:orient="landscape"/>
      <w:pgMar w:top="504" w:right="605" w:bottom="504" w:left="605" w:header="230" w:footer="2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082D6B"/>
        <w:sz w:val="14"/>
      </w:rPr>
      <w:t xml:space="preserve">USO INTERNO INDIVIDUOS    |    30/09/2026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2D6B"/>
        <w:sz w:val="14"/>
      </w:rPr>
      <w:t>BALANZ INTERNATIONAL  |  CURADURÍA DE FONDOS OFFSHORE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Curaduría de Fondos Offshore Septiembre 2026</dc:title>
  <dc:subject>Base de contenidos para asesores y desarrollo web</dc:subject>
  <dc:creator>Balanz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