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58FAC"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These are all solid observations. Let me go through each one honestly — agreeing, pushing back, or adding nuance where relevant.</w:t>
      </w:r>
    </w:p>
    <w:p w14:paraId="1485840A"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1F3EA473">
          <v:rect id="_x0000_i1025" style="width:0;height:1.5pt" o:hralign="center" o:hrstd="t" o:hr="t" fillcolor="#a0a0a0" stroked="f"/>
        </w:pict>
      </w:r>
    </w:p>
    <w:p w14:paraId="61274334"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1. "The format is wrong — interactive web-based would be more appropriate"</w:t>
      </w:r>
    </w:p>
    <w:p w14:paraId="3A4A1E59"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t>Strongly agree, and it's arguably the most impactful change they could make.</w:t>
      </w:r>
    </w:p>
    <w:p w14:paraId="487B0ADB"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 xml:space="preserve">A 37-page PDF delivered after a blood test is a 2010 solution to a 2026 problem. The fundamental issue is that a static document forces the patient to do all the cognitive work of translating results into </w:t>
      </w:r>
      <w:proofErr w:type="spellStart"/>
      <w:r w:rsidRPr="00451C3B">
        <w:rPr>
          <w:rFonts w:ascii="Times New Roman" w:eastAsia="Times New Roman" w:hAnsi="Times New Roman" w:cs="Times New Roman"/>
          <w:kern w:val="0"/>
          <w14:ligatures w14:val="none"/>
        </w:rPr>
        <w:t>behaviour</w:t>
      </w:r>
      <w:proofErr w:type="spellEnd"/>
      <w:r w:rsidRPr="00451C3B">
        <w:rPr>
          <w:rFonts w:ascii="Times New Roman" w:eastAsia="Times New Roman" w:hAnsi="Times New Roman" w:cs="Times New Roman"/>
          <w:kern w:val="0"/>
          <w14:ligatures w14:val="none"/>
        </w:rPr>
        <w:t xml:space="preserve"> — and most won't. An interactive format could </w:t>
      </w:r>
      <w:proofErr w:type="spellStart"/>
      <w:r w:rsidRPr="00451C3B">
        <w:rPr>
          <w:rFonts w:ascii="Times New Roman" w:eastAsia="Times New Roman" w:hAnsi="Times New Roman" w:cs="Times New Roman"/>
          <w:kern w:val="0"/>
          <w14:ligatures w14:val="none"/>
        </w:rPr>
        <w:t>personalise</w:t>
      </w:r>
      <w:proofErr w:type="spellEnd"/>
      <w:r w:rsidRPr="00451C3B">
        <w:rPr>
          <w:rFonts w:ascii="Times New Roman" w:eastAsia="Times New Roman" w:hAnsi="Times New Roman" w:cs="Times New Roman"/>
          <w:kern w:val="0"/>
          <w14:ligatures w14:val="none"/>
        </w:rPr>
        <w:t xml:space="preserve"> the experience dynamically: show only what's relevant to that patient's specific flagged groups, hide the generic science that doesn't apply to them, and surface the actionable parts immediately. The commercial implication is also significant — a web platform creates a persistent relationship with the customer rather than a one-time document delivery. That's the difference between a product and a service, and services retain and upsell far better.</w:t>
      </w:r>
    </w:p>
    <w:p w14:paraId="335C5B2F"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4137A50C">
          <v:rect id="_x0000_i1026" style="width:0;height:1.5pt" o:hralign="center" o:hrstd="t" o:hr="t" fillcolor="#a0a0a0" stroked="f"/>
        </w:pict>
      </w:r>
    </w:p>
    <w:p w14:paraId="7922FBED"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2. "Content is poorly structured — AI could help navigate it"</w:t>
      </w:r>
    </w:p>
    <w:p w14:paraId="4E27BBD7"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t>Agree on the structure problem. The AI point is right but needs precision.</w:t>
      </w:r>
    </w:p>
    <w:p w14:paraId="655E13F9"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 xml:space="preserve">As we discussed earlier, the mixing of taxonomies, the absence of </w:t>
      </w:r>
      <w:proofErr w:type="spellStart"/>
      <w:r w:rsidRPr="00451C3B">
        <w:rPr>
          <w:rFonts w:ascii="Times New Roman" w:eastAsia="Times New Roman" w:hAnsi="Times New Roman" w:cs="Times New Roman"/>
          <w:kern w:val="0"/>
          <w14:ligatures w14:val="none"/>
        </w:rPr>
        <w:t>prioritisation</w:t>
      </w:r>
      <w:proofErr w:type="spellEnd"/>
      <w:r w:rsidRPr="00451C3B">
        <w:rPr>
          <w:rFonts w:ascii="Times New Roman" w:eastAsia="Times New Roman" w:hAnsi="Times New Roman" w:cs="Times New Roman"/>
          <w:kern w:val="0"/>
          <w14:ligatures w14:val="none"/>
        </w:rPr>
        <w:t xml:space="preserve">, and the alarming tone without context all create a document that overwhelms rather than guides. AI can genuinely help here — not just as a chatbot bolted on top, but structurally embedded in how the report is generated. The system could take the raw lab values and automatically generate a </w:t>
      </w:r>
      <w:proofErr w:type="spellStart"/>
      <w:r w:rsidRPr="00451C3B">
        <w:rPr>
          <w:rFonts w:ascii="Times New Roman" w:eastAsia="Times New Roman" w:hAnsi="Times New Roman" w:cs="Times New Roman"/>
          <w:kern w:val="0"/>
          <w14:ligatures w14:val="none"/>
        </w:rPr>
        <w:t>personalised</w:t>
      </w:r>
      <w:proofErr w:type="spellEnd"/>
      <w:r w:rsidRPr="00451C3B">
        <w:rPr>
          <w:rFonts w:ascii="Times New Roman" w:eastAsia="Times New Roman" w:hAnsi="Times New Roman" w:cs="Times New Roman"/>
          <w:kern w:val="0"/>
          <w14:ligatures w14:val="none"/>
        </w:rPr>
        <w:t xml:space="preserve"> narrative that only surfaces relevant sections, ranks findings by urgency, and adapts language complexity to the patient. The risk to flag to them: AI in medical contexts requires careful governance. They'd need to be clear about what the AI is doing — navigating and </w:t>
      </w:r>
      <w:proofErr w:type="spellStart"/>
      <w:r w:rsidRPr="00451C3B">
        <w:rPr>
          <w:rFonts w:ascii="Times New Roman" w:eastAsia="Times New Roman" w:hAnsi="Times New Roman" w:cs="Times New Roman"/>
          <w:kern w:val="0"/>
          <w14:ligatures w14:val="none"/>
        </w:rPr>
        <w:t>summarising</w:t>
      </w:r>
      <w:proofErr w:type="spellEnd"/>
      <w:r w:rsidRPr="00451C3B">
        <w:rPr>
          <w:rFonts w:ascii="Times New Roman" w:eastAsia="Times New Roman" w:hAnsi="Times New Roman" w:cs="Times New Roman"/>
          <w:kern w:val="0"/>
          <w14:ligatures w14:val="none"/>
        </w:rPr>
        <w:t xml:space="preserve"> their own content — versus giving independent medical advice. That line matters both legally and for trust.</w:t>
      </w:r>
    </w:p>
    <w:p w14:paraId="653134BC"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0EC38BF6">
          <v:rect id="_x0000_i1027" style="width:0;height:1.5pt" o:hralign="center" o:hrstd="t" o:hr="t" fillcolor="#a0a0a0" stroked="f"/>
        </w:pict>
      </w:r>
    </w:p>
    <w:p w14:paraId="2BC1051D"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3. "Content should be translated into everyday meals, not ingredients"</w:t>
      </w:r>
    </w:p>
    <w:p w14:paraId="26EDE3D5"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t>100% agree — and this is probably the single biggest usability gap in the current report.</w:t>
      </w:r>
    </w:p>
    <w:p w14:paraId="0F4A21FF"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lastRenderedPageBreak/>
        <w:t xml:space="preserve">As our conversation today demonstrated, it takes significant effort and expertise to go from "avoid yeasts and fermented foods" to "don't order risotto ai </w:t>
      </w:r>
      <w:proofErr w:type="spellStart"/>
      <w:r w:rsidRPr="00451C3B">
        <w:rPr>
          <w:rFonts w:ascii="Times New Roman" w:eastAsia="Times New Roman" w:hAnsi="Times New Roman" w:cs="Times New Roman"/>
          <w:kern w:val="0"/>
          <w14:ligatures w14:val="none"/>
        </w:rPr>
        <w:t>funghi</w:t>
      </w:r>
      <w:proofErr w:type="spellEnd"/>
      <w:r w:rsidRPr="00451C3B">
        <w:rPr>
          <w:rFonts w:ascii="Times New Roman" w:eastAsia="Times New Roman" w:hAnsi="Times New Roman" w:cs="Times New Roman"/>
          <w:kern w:val="0"/>
          <w14:ligatures w14:val="none"/>
        </w:rPr>
        <w:t xml:space="preserve">." Normal patients don't have that. The cognitive leap from ingredient to meal is where compliance breaks down. This is also the most commercially differentiating opportunity — nobody else is doing this well in the </w:t>
      </w:r>
      <w:proofErr w:type="spellStart"/>
      <w:r w:rsidRPr="00451C3B">
        <w:rPr>
          <w:rFonts w:ascii="Times New Roman" w:eastAsia="Times New Roman" w:hAnsi="Times New Roman" w:cs="Times New Roman"/>
          <w:kern w:val="0"/>
          <w14:ligatures w14:val="none"/>
        </w:rPr>
        <w:t>personalised</w:t>
      </w:r>
      <w:proofErr w:type="spellEnd"/>
      <w:r w:rsidRPr="00451C3B">
        <w:rPr>
          <w:rFonts w:ascii="Times New Roman" w:eastAsia="Times New Roman" w:hAnsi="Times New Roman" w:cs="Times New Roman"/>
          <w:kern w:val="0"/>
          <w14:ligatures w14:val="none"/>
        </w:rPr>
        <w:t xml:space="preserve"> nutrition space. The meal-first approach also makes the diet feel abundant rather than restrictive, which dramatically improves adherence and therefore health outcomes and therefore customer satisfaction and word of mouth.</w:t>
      </w:r>
    </w:p>
    <w:p w14:paraId="2A06EF48"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7EDD2498">
          <v:rect id="_x0000_i1028" style="width:0;height:1.5pt" o:hralign="center" o:hrstd="t" o:hr="t" fillcolor="#a0a0a0" stroked="f"/>
        </w:pict>
      </w:r>
    </w:p>
    <w:p w14:paraId="6716671C"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4. "A mobile companion should reduce daily cognitive load"</w:t>
      </w:r>
    </w:p>
    <w:p w14:paraId="617E81B9"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t>Agree, and this is where the business model transformation lives.</w:t>
      </w:r>
    </w:p>
    <w:p w14:paraId="4D438D45"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The current model is essentially: sell a test, deliver a report, hope the patient complies. The mobile companion flips this into a continuous relationship. Daily cognitive load reduction — "what do I eat today" — is exactly the right problem to solve because it's the moment of truth where good intentions fail. The practical challenge is content depth: you need a large enough meal database that feels personal to the patient's profile, culture, and preferences. For an Italian customer base specifically, this means a genuinely Italian recipe library filtered dynamically against their specific restrictions. That's a real investment but also a real moat — it's hard to replicate quickly.</w:t>
      </w:r>
    </w:p>
    <w:p w14:paraId="338F5B98"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04D1DF52">
          <v:rect id="_x0000_i1029" style="width:0;height:1.5pt" o:hralign="center" o:hrstd="t" o:hr="t" fillcolor="#a0a0a0" stroked="f"/>
        </w:pict>
      </w:r>
    </w:p>
    <w:p w14:paraId="1DB9B3A8"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5. "Companion should help with out-of-home meals and compliant choices"</w:t>
      </w:r>
    </w:p>
    <w:p w14:paraId="782DFAE9"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t>Excellent point and significantly underrated commercially.</w:t>
      </w:r>
    </w:p>
    <w:p w14:paraId="16FFB668"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This is actually more important than the home cooking problem. Eating out is where compliance completely collapses because patients feel helpless. A companion that can say "you're at a Japanese restaurant — here's what to order and what to avoid" is extraordinarily valuable and very sticky. The technical implementation could range from simple (restaurant category guides) to sophisticated (scan a menu, get compliant suggestions). Even the simple version would differentiate dramatically. There's also a potential B2B angle here — restaurant partnerships or certifications for "GEK-compliant" menu items, which creates both a revenue stream and marketing value.</w:t>
      </w:r>
    </w:p>
    <w:p w14:paraId="6B056DB3"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02710943">
          <v:rect id="_x0000_i1030" style="width:0;height:1.5pt" o:hralign="center" o:hrstd="t" o:hr="t" fillcolor="#a0a0a0" stroked="f"/>
        </w:pict>
      </w:r>
    </w:p>
    <w:p w14:paraId="4A4E5587"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6. "A tracking system to score compliance and inform follow-on check-ins"</w:t>
      </w:r>
    </w:p>
    <w:p w14:paraId="3A33EC4B"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lastRenderedPageBreak/>
        <w:t>Agree, and this is the key to converting a one-time purchase into a recurring revenue model.</w:t>
      </w:r>
    </w:p>
    <w:p w14:paraId="74FCC153"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 xml:space="preserve">Compliance scoring closes the loop between </w:t>
      </w:r>
      <w:proofErr w:type="spellStart"/>
      <w:r w:rsidRPr="00451C3B">
        <w:rPr>
          <w:rFonts w:ascii="Times New Roman" w:eastAsia="Times New Roman" w:hAnsi="Times New Roman" w:cs="Times New Roman"/>
          <w:kern w:val="0"/>
          <w14:ligatures w14:val="none"/>
        </w:rPr>
        <w:t>behaviour</w:t>
      </w:r>
      <w:proofErr w:type="spellEnd"/>
      <w:r w:rsidRPr="00451C3B">
        <w:rPr>
          <w:rFonts w:ascii="Times New Roman" w:eastAsia="Times New Roman" w:hAnsi="Times New Roman" w:cs="Times New Roman"/>
          <w:kern w:val="0"/>
          <w14:ligatures w14:val="none"/>
        </w:rPr>
        <w:t xml:space="preserve"> and outcomes, which is currently completely absent. The patient does the test, gets the report, and then disappears into silence until they decide to retest. A tracking system changes this — it creates data that makes the follow-on check-in feel necessary and valuable rather than optional. It also gives the clinical team something to work with: if a patient retests and their GA is still elevated, knowing their compliance score tells you whether the diet failed or the patient failed to follow it. That's a meaningful clinical distinction. The challenge is self-reporting fatigue — the tracking UX needs to be extremely low friction or people abandon it within two weeks.</w:t>
      </w:r>
    </w:p>
    <w:p w14:paraId="1F918351"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457CF2DB">
          <v:rect id="_x0000_i1031" style="width:0;height:1.5pt" o:hralign="center" o:hrstd="t" o:hr="t" fillcolor="#a0a0a0" stroked="f"/>
        </w:pict>
      </w:r>
    </w:p>
    <w:p w14:paraId="2C677F23"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7. "Goals should be outcome-based, not food-based"</w:t>
      </w:r>
    </w:p>
    <w:p w14:paraId="19852AD9"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t>This is the most strategically sophisticated point on your list.</w:t>
      </w:r>
    </w:p>
    <w:p w14:paraId="24C98519"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 xml:space="preserve">Current nutrition </w:t>
      </w:r>
      <w:proofErr w:type="spellStart"/>
      <w:r w:rsidRPr="00451C3B">
        <w:rPr>
          <w:rFonts w:ascii="Times New Roman" w:eastAsia="Times New Roman" w:hAnsi="Times New Roman" w:cs="Times New Roman"/>
          <w:kern w:val="0"/>
          <w14:ligatures w14:val="none"/>
        </w:rPr>
        <w:t>programmes</w:t>
      </w:r>
      <w:proofErr w:type="spellEnd"/>
      <w:r w:rsidRPr="00451C3B">
        <w:rPr>
          <w:rFonts w:ascii="Times New Roman" w:eastAsia="Times New Roman" w:hAnsi="Times New Roman" w:cs="Times New Roman"/>
          <w:kern w:val="0"/>
          <w14:ligatures w14:val="none"/>
        </w:rPr>
        <w:t xml:space="preserve"> almost universally fail because they set food rules rather than health goals. "Reduce your GA from 7.14% to below 2.95%" is a goal. "Don't eat bread" is a rule. Goals create intrinsic motivation; rules create resentment. Outcome-based goals also naturally accommodate the individual variation that food rules ignore — two patients might reach the same GA target via different dietary paths. For GEK Lab specifically, this maps perfectly onto their existing measurement framework: they already track GA, BAFF, MGO and IgG levels. These become the patient's personal health scoreboard. The retest becomes not a commercial transaction but a goal check-in. That's a fundamentally more compelling reason to come back.</w:t>
      </w:r>
    </w:p>
    <w:p w14:paraId="6203E7BF"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657D9925">
          <v:rect id="_x0000_i1032" style="width:0;height:1.5pt" o:hralign="center" o:hrstd="t" o:hr="t" fillcolor="#a0a0a0" stroked="f"/>
        </w:pict>
      </w:r>
    </w:p>
    <w:p w14:paraId="4ADE7828"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8. "More clear, grounded risks to compel compliance"</w:t>
      </w:r>
    </w:p>
    <w:p w14:paraId="53B47457"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t>Agree in principle, but this needs careful calibration.</w:t>
      </w:r>
    </w:p>
    <w:p w14:paraId="4CE01754"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 xml:space="preserve">As we noted earlier, the current report already has a tendency toward alarming language. The opportunity isn't more alarm — it's more </w:t>
      </w:r>
      <w:r w:rsidRPr="00451C3B">
        <w:rPr>
          <w:rFonts w:ascii="Times New Roman" w:eastAsia="Times New Roman" w:hAnsi="Times New Roman" w:cs="Times New Roman"/>
          <w:i/>
          <w:iCs/>
          <w:kern w:val="0"/>
          <w14:ligatures w14:val="none"/>
        </w:rPr>
        <w:t>personal</w:t>
      </w:r>
      <w:r w:rsidRPr="00451C3B">
        <w:rPr>
          <w:rFonts w:ascii="Times New Roman" w:eastAsia="Times New Roman" w:hAnsi="Times New Roman" w:cs="Times New Roman"/>
          <w:kern w:val="0"/>
          <w14:ligatures w14:val="none"/>
        </w:rPr>
        <w:t xml:space="preserve"> and </w:t>
      </w:r>
      <w:r w:rsidRPr="00451C3B">
        <w:rPr>
          <w:rFonts w:ascii="Times New Roman" w:eastAsia="Times New Roman" w:hAnsi="Times New Roman" w:cs="Times New Roman"/>
          <w:i/>
          <w:iCs/>
          <w:kern w:val="0"/>
          <w14:ligatures w14:val="none"/>
        </w:rPr>
        <w:t>specific</w:t>
      </w:r>
      <w:r w:rsidRPr="00451C3B">
        <w:rPr>
          <w:rFonts w:ascii="Times New Roman" w:eastAsia="Times New Roman" w:hAnsi="Times New Roman" w:cs="Times New Roman"/>
          <w:kern w:val="0"/>
          <w14:ligatures w14:val="none"/>
        </w:rPr>
        <w:t xml:space="preserve"> risk communication. "People with your PNPLA3 variant who drink regularly have a 4.4x higher risk of serious liver disease" is compelling because it's specific to Gianluca, not generic. "Uncontrolled glycation can cause cognitive decline" is background noise because it applies to everyone. The distinction is </w:t>
      </w:r>
      <w:proofErr w:type="spellStart"/>
      <w:r w:rsidRPr="00451C3B">
        <w:rPr>
          <w:rFonts w:ascii="Times New Roman" w:eastAsia="Times New Roman" w:hAnsi="Times New Roman" w:cs="Times New Roman"/>
          <w:kern w:val="0"/>
          <w14:ligatures w14:val="none"/>
        </w:rPr>
        <w:t>personalisation</w:t>
      </w:r>
      <w:proofErr w:type="spellEnd"/>
      <w:r w:rsidRPr="00451C3B">
        <w:rPr>
          <w:rFonts w:ascii="Times New Roman" w:eastAsia="Times New Roman" w:hAnsi="Times New Roman" w:cs="Times New Roman"/>
          <w:kern w:val="0"/>
          <w14:ligatures w14:val="none"/>
        </w:rPr>
        <w:t xml:space="preserve"> of risk, not amplification of fear. Done well, this drives compliance. Done badly, it drives anxiety and disengagement. The mobile companion is actually the right place for this — a timely nudge at the moment of decision is far more effective than a scary paragraph in a PDF that was read once six weeks ago.</w:t>
      </w:r>
    </w:p>
    <w:p w14:paraId="4BEBD6AB"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1E690C44">
          <v:rect id="_x0000_i1033" style="width:0;height:1.5pt" o:hralign="center" o:hrstd="t" o:hr="t" fillcolor="#a0a0a0" stroked="f"/>
        </w:pict>
      </w:r>
    </w:p>
    <w:p w14:paraId="31974034"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lastRenderedPageBreak/>
        <w:t>9. "Benchmarking with population for position and progress"</w:t>
      </w:r>
    </w:p>
    <w:p w14:paraId="1286DBD1"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t>Good idea, with one important caveat.</w:t>
      </w:r>
    </w:p>
    <w:p w14:paraId="5AAB9AFE"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 xml:space="preserve">Showing a patient where they sit relative to the population is a powerful motivator — both when the picture is bad ("your GA is in the top 15% of risk profiles we see") and when progress is made ("you've moved from the top 20% to the top 40% — here's what that means for your long-term liver health"). The caveat is that GEK Lab uses proprietary reference ranges, as we discussed. Benchmarking only works if the ranges are defensible and transparent. If a patient or their doctor starts questioning why "normal" GA is defined so differently from standard clinical ranges, the benchmarking data becomes a liability rather than an asset. </w:t>
      </w:r>
      <w:proofErr w:type="gramStart"/>
      <w:r w:rsidRPr="00451C3B">
        <w:rPr>
          <w:rFonts w:ascii="Times New Roman" w:eastAsia="Times New Roman" w:hAnsi="Times New Roman" w:cs="Times New Roman"/>
          <w:kern w:val="0"/>
          <w14:ligatures w14:val="none"/>
        </w:rPr>
        <w:t>So</w:t>
      </w:r>
      <w:proofErr w:type="gramEnd"/>
      <w:r w:rsidRPr="00451C3B">
        <w:rPr>
          <w:rFonts w:ascii="Times New Roman" w:eastAsia="Times New Roman" w:hAnsi="Times New Roman" w:cs="Times New Roman"/>
          <w:kern w:val="0"/>
          <w14:ligatures w14:val="none"/>
        </w:rPr>
        <w:t xml:space="preserve"> this recommendation comes with a prerequisite: solidify and publish the methodology behind the reference ranges first.</w:t>
      </w:r>
    </w:p>
    <w:p w14:paraId="0465F9B7"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3F084ECA">
          <v:rect id="_x0000_i1034" style="width:0;height:1.5pt" o:hralign="center" o:hrstd="t" o:hr="t" fillcolor="#a0a0a0" stroked="f"/>
        </w:pict>
      </w:r>
    </w:p>
    <w:p w14:paraId="5729831F"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10. "A companion that translates recommendations into recipes"</w:t>
      </w:r>
    </w:p>
    <w:p w14:paraId="6E982B74"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b/>
          <w:bCs/>
          <w:kern w:val="0"/>
          <w14:ligatures w14:val="none"/>
        </w:rPr>
        <w:t>Agree — and this is where retention lives.</w:t>
      </w:r>
    </w:p>
    <w:p w14:paraId="5EC7F042"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 xml:space="preserve">Recipes are the most tangible, daily-use feature you can offer. They're also the most shareable — a patient who discovers a great compliant recipe tells their friends, which is free acquisition. The recipe companion needs to go beyond a static list though. It should adapt to: what's in season, what country/region the patient is in, how much time they have, their cooking skill level, and crucially — their specific flagged food groups. A patient flagged for nickel gets different recipes than one flagged for wheat only. That </w:t>
      </w:r>
      <w:proofErr w:type="spellStart"/>
      <w:r w:rsidRPr="00451C3B">
        <w:rPr>
          <w:rFonts w:ascii="Times New Roman" w:eastAsia="Times New Roman" w:hAnsi="Times New Roman" w:cs="Times New Roman"/>
          <w:kern w:val="0"/>
          <w14:ligatures w14:val="none"/>
        </w:rPr>
        <w:t>personalisation</w:t>
      </w:r>
      <w:proofErr w:type="spellEnd"/>
      <w:r w:rsidRPr="00451C3B">
        <w:rPr>
          <w:rFonts w:ascii="Times New Roman" w:eastAsia="Times New Roman" w:hAnsi="Times New Roman" w:cs="Times New Roman"/>
          <w:kern w:val="0"/>
          <w14:ligatures w14:val="none"/>
        </w:rPr>
        <w:t xml:space="preserve"> is what makes it feel like a medical tool rather than a generic recipe app.</w:t>
      </w:r>
    </w:p>
    <w:p w14:paraId="3758FC34" w14:textId="77777777" w:rsidR="00451C3B" w:rsidRPr="00451C3B" w:rsidRDefault="00451C3B" w:rsidP="00451C3B">
      <w:pPr>
        <w:spacing w:after="0"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pict w14:anchorId="3CC37D2A">
          <v:rect id="_x0000_i1035" style="width:0;height:1.5pt" o:hralign="center" o:hrstd="t" o:hr="t" fillcolor="#a0a0a0" stroked="f"/>
        </w:pict>
      </w:r>
    </w:p>
    <w:p w14:paraId="6BD023C4" w14:textId="77777777" w:rsidR="00451C3B" w:rsidRPr="00451C3B" w:rsidRDefault="00451C3B" w:rsidP="00451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1C3B">
        <w:rPr>
          <w:rFonts w:ascii="Times New Roman" w:eastAsia="Times New Roman" w:hAnsi="Times New Roman" w:cs="Times New Roman"/>
          <w:b/>
          <w:bCs/>
          <w:kern w:val="0"/>
          <w:sz w:val="36"/>
          <w:szCs w:val="36"/>
          <w14:ligatures w14:val="none"/>
        </w:rPr>
        <w:t>Overall Assessment</w:t>
      </w:r>
    </w:p>
    <w:p w14:paraId="2AF8FDFB"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 xml:space="preserve">Your list is coherent and commercially sound. Taken together, these points describe a transformation from </w:t>
      </w:r>
      <w:r w:rsidRPr="00451C3B">
        <w:rPr>
          <w:rFonts w:ascii="Times New Roman" w:eastAsia="Times New Roman" w:hAnsi="Times New Roman" w:cs="Times New Roman"/>
          <w:b/>
          <w:bCs/>
          <w:kern w:val="0"/>
          <w14:ligatures w14:val="none"/>
        </w:rPr>
        <w:t>a diagnostic product</w:t>
      </w:r>
      <w:r w:rsidRPr="00451C3B">
        <w:rPr>
          <w:rFonts w:ascii="Times New Roman" w:eastAsia="Times New Roman" w:hAnsi="Times New Roman" w:cs="Times New Roman"/>
          <w:kern w:val="0"/>
          <w14:ligatures w14:val="none"/>
        </w:rPr>
        <w:t xml:space="preserve"> into </w:t>
      </w:r>
      <w:r w:rsidRPr="00451C3B">
        <w:rPr>
          <w:rFonts w:ascii="Times New Roman" w:eastAsia="Times New Roman" w:hAnsi="Times New Roman" w:cs="Times New Roman"/>
          <w:b/>
          <w:bCs/>
          <w:kern w:val="0"/>
          <w14:ligatures w14:val="none"/>
        </w:rPr>
        <w:t>a health management platform</w:t>
      </w:r>
      <w:r w:rsidRPr="00451C3B">
        <w:rPr>
          <w:rFonts w:ascii="Times New Roman" w:eastAsia="Times New Roman" w:hAnsi="Times New Roman" w:cs="Times New Roman"/>
          <w:kern w:val="0"/>
          <w14:ligatures w14:val="none"/>
        </w:rPr>
        <w:t xml:space="preserve"> — which is a fundamentally different and more valuable business. The revenue model shifts from one-time test sales to subscription-based companion services, with the test itself becoming the entry point rather than the product.</w:t>
      </w:r>
    </w:p>
    <w:p w14:paraId="2D344FB1"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t xml:space="preserve">The one thing missing from your list that I'd add: </w:t>
      </w:r>
      <w:r w:rsidRPr="00451C3B">
        <w:rPr>
          <w:rFonts w:ascii="Times New Roman" w:eastAsia="Times New Roman" w:hAnsi="Times New Roman" w:cs="Times New Roman"/>
          <w:b/>
          <w:bCs/>
          <w:kern w:val="0"/>
          <w14:ligatures w14:val="none"/>
        </w:rPr>
        <w:t>community</w:t>
      </w:r>
      <w:r w:rsidRPr="00451C3B">
        <w:rPr>
          <w:rFonts w:ascii="Times New Roman" w:eastAsia="Times New Roman" w:hAnsi="Times New Roman" w:cs="Times New Roman"/>
          <w:kern w:val="0"/>
          <w14:ligatures w14:val="none"/>
        </w:rPr>
        <w:t>. Patients following the same dietary profile — wheat and yeast restricted, say — have enormous value to each other. Recipes, restaurant tips, compliance tricks. A community layer on top of everything you've described creates network effects that no competitor can easily replicate.</w:t>
      </w:r>
    </w:p>
    <w:p w14:paraId="4AE1F40B" w14:textId="77777777" w:rsidR="00451C3B" w:rsidRPr="00451C3B" w:rsidRDefault="00451C3B" w:rsidP="00451C3B">
      <w:pPr>
        <w:spacing w:before="100" w:beforeAutospacing="1" w:after="100" w:afterAutospacing="1" w:line="240" w:lineRule="auto"/>
        <w:rPr>
          <w:rFonts w:ascii="Times New Roman" w:eastAsia="Times New Roman" w:hAnsi="Times New Roman" w:cs="Times New Roman"/>
          <w:kern w:val="0"/>
          <w14:ligatures w14:val="none"/>
        </w:rPr>
      </w:pPr>
      <w:r w:rsidRPr="00451C3B">
        <w:rPr>
          <w:rFonts w:ascii="Times New Roman" w:eastAsia="Times New Roman" w:hAnsi="Times New Roman" w:cs="Times New Roman"/>
          <w:kern w:val="0"/>
          <w14:ligatures w14:val="none"/>
        </w:rPr>
        <w:lastRenderedPageBreak/>
        <w:t xml:space="preserve">The scientific credibility of Dr. </w:t>
      </w:r>
      <w:proofErr w:type="spellStart"/>
      <w:r w:rsidRPr="00451C3B">
        <w:rPr>
          <w:rFonts w:ascii="Times New Roman" w:eastAsia="Times New Roman" w:hAnsi="Times New Roman" w:cs="Times New Roman"/>
          <w:kern w:val="0"/>
          <w14:ligatures w14:val="none"/>
        </w:rPr>
        <w:t>Speciani</w:t>
      </w:r>
      <w:proofErr w:type="spellEnd"/>
      <w:r w:rsidRPr="00451C3B">
        <w:rPr>
          <w:rFonts w:ascii="Times New Roman" w:eastAsia="Times New Roman" w:hAnsi="Times New Roman" w:cs="Times New Roman"/>
          <w:kern w:val="0"/>
          <w14:ligatures w14:val="none"/>
        </w:rPr>
        <w:t xml:space="preserve"> is actually a significant asset in positioning all of this — it's what separates a GEK Lab platform from a generic wellness app. That credibility needs to be front and </w:t>
      </w:r>
      <w:proofErr w:type="spellStart"/>
      <w:r w:rsidRPr="00451C3B">
        <w:rPr>
          <w:rFonts w:ascii="Times New Roman" w:eastAsia="Times New Roman" w:hAnsi="Times New Roman" w:cs="Times New Roman"/>
          <w:kern w:val="0"/>
          <w14:ligatures w14:val="none"/>
        </w:rPr>
        <w:t>centre</w:t>
      </w:r>
      <w:proofErr w:type="spellEnd"/>
      <w:r w:rsidRPr="00451C3B">
        <w:rPr>
          <w:rFonts w:ascii="Times New Roman" w:eastAsia="Times New Roman" w:hAnsi="Times New Roman" w:cs="Times New Roman"/>
          <w:kern w:val="0"/>
          <w14:ligatures w14:val="none"/>
        </w:rPr>
        <w:t xml:space="preserve"> in the product experience, not buried in a PDF footer. </w:t>
      </w:r>
      <w:r w:rsidRPr="00451C3B">
        <w:rPr>
          <w:rFonts w:ascii="Segoe UI Emoji" w:eastAsia="Times New Roman" w:hAnsi="Segoe UI Emoji" w:cs="Segoe UI Emoji"/>
          <w:kern w:val="0"/>
          <w14:ligatures w14:val="none"/>
        </w:rPr>
        <w:t>🎯</w:t>
      </w:r>
    </w:p>
    <w:p w14:paraId="310825E0" w14:textId="77777777" w:rsidR="00256BBF" w:rsidRDefault="00256BBF"/>
    <w:sectPr w:rsidR="00256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C3B"/>
    <w:rsid w:val="00256BBF"/>
    <w:rsid w:val="00451C3B"/>
    <w:rsid w:val="0057164D"/>
    <w:rsid w:val="008D0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14DE7"/>
  <w15:chartTrackingRefBased/>
  <w15:docId w15:val="{9FF4FD3C-0554-4434-A467-C2A68585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1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1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C3B"/>
    <w:rPr>
      <w:rFonts w:eastAsiaTheme="majorEastAsia" w:cstheme="majorBidi"/>
      <w:color w:val="272727" w:themeColor="text1" w:themeTint="D8"/>
    </w:rPr>
  </w:style>
  <w:style w:type="paragraph" w:styleId="Title">
    <w:name w:val="Title"/>
    <w:basedOn w:val="Normal"/>
    <w:next w:val="Normal"/>
    <w:link w:val="TitleChar"/>
    <w:uiPriority w:val="10"/>
    <w:qFormat/>
    <w:rsid w:val="00451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C3B"/>
    <w:pPr>
      <w:spacing w:before="160"/>
      <w:jc w:val="center"/>
    </w:pPr>
    <w:rPr>
      <w:i/>
      <w:iCs/>
      <w:color w:val="404040" w:themeColor="text1" w:themeTint="BF"/>
    </w:rPr>
  </w:style>
  <w:style w:type="character" w:customStyle="1" w:styleId="QuoteChar">
    <w:name w:val="Quote Char"/>
    <w:basedOn w:val="DefaultParagraphFont"/>
    <w:link w:val="Quote"/>
    <w:uiPriority w:val="29"/>
    <w:rsid w:val="00451C3B"/>
    <w:rPr>
      <w:i/>
      <w:iCs/>
      <w:color w:val="404040" w:themeColor="text1" w:themeTint="BF"/>
    </w:rPr>
  </w:style>
  <w:style w:type="paragraph" w:styleId="ListParagraph">
    <w:name w:val="List Paragraph"/>
    <w:basedOn w:val="Normal"/>
    <w:uiPriority w:val="34"/>
    <w:qFormat/>
    <w:rsid w:val="00451C3B"/>
    <w:pPr>
      <w:ind w:left="720"/>
      <w:contextualSpacing/>
    </w:pPr>
  </w:style>
  <w:style w:type="character" w:styleId="IntenseEmphasis">
    <w:name w:val="Intense Emphasis"/>
    <w:basedOn w:val="DefaultParagraphFont"/>
    <w:uiPriority w:val="21"/>
    <w:qFormat/>
    <w:rsid w:val="00451C3B"/>
    <w:rPr>
      <w:i/>
      <w:iCs/>
      <w:color w:val="0F4761" w:themeColor="accent1" w:themeShade="BF"/>
    </w:rPr>
  </w:style>
  <w:style w:type="paragraph" w:styleId="IntenseQuote">
    <w:name w:val="Intense Quote"/>
    <w:basedOn w:val="Normal"/>
    <w:next w:val="Normal"/>
    <w:link w:val="IntenseQuoteChar"/>
    <w:uiPriority w:val="30"/>
    <w:qFormat/>
    <w:rsid w:val="00451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C3B"/>
    <w:rPr>
      <w:i/>
      <w:iCs/>
      <w:color w:val="0F4761" w:themeColor="accent1" w:themeShade="BF"/>
    </w:rPr>
  </w:style>
  <w:style w:type="character" w:styleId="IntenseReference">
    <w:name w:val="Intense Reference"/>
    <w:basedOn w:val="DefaultParagraphFont"/>
    <w:uiPriority w:val="32"/>
    <w:qFormat/>
    <w:rsid w:val="00451C3B"/>
    <w:rPr>
      <w:b/>
      <w:bCs/>
      <w:smallCaps/>
      <w:color w:val="0F4761" w:themeColor="accent1" w:themeShade="BF"/>
      <w:spacing w:val="5"/>
    </w:rPr>
  </w:style>
  <w:style w:type="paragraph" w:styleId="NormalWeb">
    <w:name w:val="Normal (Web)"/>
    <w:basedOn w:val="Normal"/>
    <w:uiPriority w:val="99"/>
    <w:semiHidden/>
    <w:unhideWhenUsed/>
    <w:rsid w:val="00451C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1C3B"/>
    <w:rPr>
      <w:b/>
      <w:bCs/>
    </w:rPr>
  </w:style>
  <w:style w:type="character" w:styleId="Emphasis">
    <w:name w:val="Emphasis"/>
    <w:basedOn w:val="DefaultParagraphFont"/>
    <w:uiPriority w:val="20"/>
    <w:qFormat/>
    <w:rsid w:val="00451C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09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1430</Words>
  <Characters>8154</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Carrera</dc:creator>
  <cp:keywords/>
  <dc:description/>
  <cp:lastModifiedBy>Gianluca Carrera</cp:lastModifiedBy>
  <cp:revision>1</cp:revision>
  <dcterms:created xsi:type="dcterms:W3CDTF">2026-03-09T14:13:00Z</dcterms:created>
  <dcterms:modified xsi:type="dcterms:W3CDTF">2026-03-09T14:14:00Z</dcterms:modified>
</cp:coreProperties>
</file>