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120"/>
        <w:jc w:val="center"/>
      </w:pPr>
      <w:r>
        <w:rPr>
          <w:rFonts w:ascii="Arial" w:cs="Arial" w:eastAsia="Arial" w:hAnsi="Arial"/>
          <w:b/>
          <w:bCs/>
          <w:color w:val="1E6B5E"/>
          <w:sz w:val="52"/>
          <w:szCs w:val="52"/>
        </w:rPr>
        <w:t xml:space="preserve">GEK Lab Digital Strategy</w:t>
      </w:r>
    </w:p>
    <w:p>
      <w:pPr>
        <w:spacing w:before="0" w:after="240"/>
        <w:jc w:val="center"/>
      </w:pPr>
      <w:r>
        <w:rPr>
          <w:rFonts w:ascii="Arial" w:cs="Arial" w:eastAsia="Arial" w:hAnsi="Arial"/>
          <w:color w:val="1A1A18"/>
          <w:sz w:val="34"/>
          <w:szCs w:val="34"/>
        </w:rPr>
        <w:t xml:space="preserve">Growth &amp; Engagement Vector Analysis</w:t>
      </w:r>
    </w:p>
    <w:p>
      <w:pPr>
        <w:pBdr>
          <w:bottom w:val="single" w:color="1E6B5E" w:sz="4" w:space="6"/>
        </w:pBdr>
        <w:spacing w:before="0" w:after="360"/>
        <w:jc w:val="center"/>
      </w:pPr>
      <w:r>
        <w:rPr>
          <w:rFonts w:ascii="Arial" w:cs="Arial" w:eastAsia="Arial" w:hAnsi="Arial"/>
          <w:sz w:val="20"/>
          <w:szCs w:val="20"/>
        </w:rPr>
        <w:t xml:space="preserve"> </w:t>
      </w:r>
    </w:p>
    <w:p>
      <w:pPr>
        <w:spacing w:before="0" w:after="0"/>
      </w:pPr>
      <w:r>
        <w:t xml:space="preserve"/>
      </w:r>
    </w:p>
    <w:p>
      <w:pPr>
        <w:spacing w:before="0" w:after="0"/>
      </w:pPr>
      <w:r>
        <w:t xml:space="preserve"/>
      </w:r>
    </w:p>
    <w:p>
      <w:pPr>
        <w:spacing w:before="0" w:after="80"/>
        <w:jc w:val="center"/>
      </w:pPr>
      <w:r>
        <w:rPr>
          <w:rFonts w:ascii="Arial" w:cs="Arial" w:eastAsia="Arial" w:hAnsi="Arial"/>
          <w:color w:val="1A1A18"/>
          <w:sz w:val="20"/>
          <w:szCs w:val="20"/>
        </w:rPr>
        <w:t xml:space="preserve">Prepared by: Digital Partner Proposal</w:t>
      </w:r>
    </w:p>
    <w:p>
      <w:pPr>
        <w:spacing w:before="0" w:after="80"/>
        <w:jc w:val="center"/>
      </w:pPr>
      <w:r>
        <w:rPr>
          <w:rFonts w:ascii="Arial" w:cs="Arial" w:eastAsia="Arial" w:hAnsi="Arial"/>
          <w:color w:val="1A1A18"/>
          <w:sz w:val="20"/>
          <w:szCs w:val="20"/>
        </w:rPr>
        <w:t xml:space="preserve">Based on PerMè Medical Program Analysis</w:t>
      </w:r>
    </w:p>
    <w:p>
      <w:pPr>
        <w:spacing w:before="0" w:after="80"/>
        <w:jc w:val="center"/>
      </w:pPr>
      <w:r>
        <w:rPr>
          <w:rFonts w:ascii="Arial" w:cs="Arial" w:eastAsia="Arial" w:hAnsi="Arial"/>
          <w:color w:val="1A1A18"/>
          <w:sz w:val="20"/>
          <w:szCs w:val="20"/>
        </w:rPr>
        <w:t xml:space="preserve">March 2026</w:t>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r>
        <w:br w:type="page"/>
      </w:r>
    </w:p>
    <w:p>
      <w:pPr>
        <w:pStyle w:val="Heading1"/>
        <w:pBdr>
          <w:bottom w:val="single" w:color="1E6B5E" w:sz="6" w:space="6"/>
        </w:pBdr>
        <w:spacing w:before="360" w:after="120"/>
      </w:pPr>
      <w:r>
        <w:rPr>
          <w:rFonts w:ascii="Arial" w:cs="Arial" w:eastAsia="Arial" w:hAnsi="Arial"/>
          <w:b/>
          <w:bCs/>
          <w:color w:val="1A1A18"/>
          <w:sz w:val="32"/>
          <w:szCs w:val="32"/>
        </w:rPr>
        <w:t xml:space="preserve">Introduction</w:t>
      </w:r>
    </w:p>
    <w:p>
      <w:pPr>
        <w:spacing w:before="40" w:after="80"/>
      </w:pPr>
      <w:r>
        <w:rPr>
          <w:rFonts w:ascii="Arial" w:cs="Arial" w:eastAsia="Arial" w:hAnsi="Arial"/>
          <w:color w:val="1A1A18"/>
          <w:sz w:val="20"/>
          <w:szCs w:val="20"/>
        </w:rPr>
        <w:t xml:space="preserve">This document analyses ten strategic statements about GEK Lab's digital opportunity across six industry-accepted growth and engagement vectors. Each statement is scored, with pros, cons, risks and a verdict. A summary scorecard and recommended build sequence conclude the analysis.</w:t>
      </w:r>
    </w:p>
    <w:p>
      <w:pPr>
        <w:spacing w:before="0" w:after="0"/>
      </w:pPr>
      <w:r>
        <w:t xml:space="preserve"/>
      </w:r>
    </w:p>
    <w:p>
      <w:pPr>
        <w:pStyle w:val="Heading2"/>
        <w:spacing w:before="280" w:after="80"/>
      </w:pPr>
      <w:r>
        <w:rPr>
          <w:rFonts w:ascii="Arial" w:cs="Arial" w:eastAsia="Arial" w:hAnsi="Arial"/>
          <w:b/>
          <w:bCs/>
          <w:color w:val="1E6B5E"/>
          <w:sz w:val="26"/>
          <w:szCs w:val="26"/>
        </w:rPr>
        <w:t xml:space="preserve">The Six Growth &amp; Engagement Vectors</w:t>
      </w:r>
    </w:p>
    <w:p>
      <w:pPr>
        <w:spacing w:before="40" w:after="80"/>
      </w:pPr>
      <w:r>
        <w:rPr>
          <w:rFonts w:ascii="Arial" w:cs="Arial" w:eastAsia="Arial" w:hAnsi="Arial"/>
          <w:color w:val="1A1A18"/>
          <w:sz w:val="20"/>
          <w:szCs w:val="20"/>
        </w:rPr>
        <w:t xml:space="preserve">The following vectors are drawn from SaaS growth literature, digital health research, and behaviour change science. Together they determine both growth trajectory and long-term stickiness.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1E6B5E" w:sz="1"/>
              <w:left w:val="single" w:color="1E6B5E" w:sz="1"/>
              <w:bottom w:val="single" w:color="1E6B5E" w:sz="1"/>
              <w:right w:val="single" w:color="1E6B5E" w:sz="1"/>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Vector</w:t>
            </w:r>
          </w:p>
        </w:tc>
        <w:tc>
          <w:tcPr>
            <w:tcW w:type="dxa" w:w="7760"/>
            <w:tcBorders>
              <w:top w:val="single" w:color="1E6B5E" w:sz="1"/>
              <w:left w:val="single" w:color="1E6B5E" w:sz="1"/>
              <w:bottom w:val="single" w:color="1E6B5E" w:sz="1"/>
              <w:right w:val="single" w:color="1E6B5E" w:sz="1"/>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Definition</w:t>
            </w:r>
          </w:p>
        </w:tc>
      </w:tr>
      <w:tr>
        <w:tc>
          <w:tcPr>
            <w:tcW w:type="dxa" w:w="1600"/>
            <w:tcBorders>
              <w:top w:val="single" w:color="CCCCCC" w:sz="1"/>
              <w:left w:val="single" w:color="CCCCCC" w:sz="1"/>
              <w:bottom w:val="single" w:color="CCCCCC" w:sz="1"/>
              <w:right w:val="single" w:color="CCCCCC" w:sz="1"/>
            </w:tcBorders>
            <w:shd w:fill="F5F3EE" w:val="clear"/>
            <w:tcMar>
              <w:top w:type="dxa" w:w="80"/>
              <w:left w:type="dxa" w:w="140"/>
              <w:bottom w:type="dxa" w:w="80"/>
              <w:right w:type="dxa" w:w="140"/>
            </w:tcMar>
          </w:tcPr>
          <w:p>
            <w:r>
              <w:rPr>
                <w:rFonts w:ascii="Arial" w:cs="Arial" w:eastAsia="Arial" w:hAnsi="Arial"/>
                <w:b/>
                <w:bCs/>
                <w:color w:val="1E6B5E"/>
                <w:sz w:val="18"/>
                <w:szCs w:val="18"/>
              </w:rPr>
              <w:t xml:space="preserve">Acquisition</w:t>
            </w:r>
          </w:p>
        </w:tc>
        <w:tc>
          <w:tcPr>
            <w:tcW w:type="dxa" w:w="7760"/>
            <w:tcBorders>
              <w:top w:val="single" w:color="CCCCCC" w:sz="1"/>
              <w:left w:val="single" w:color="CCCCCC" w:sz="1"/>
              <w:bottom w:val="single" w:color="CCCCCC" w:sz="1"/>
              <w:right w:val="single" w:color="CCCCCC" w:sz="1"/>
            </w:tcBorders>
            <w:shd w:fill="F5F3EE" w:val="clear"/>
            <w:tcMar>
              <w:top w:type="dxa" w:w="80"/>
              <w:left w:type="dxa" w:w="140"/>
              <w:bottom w:type="dxa" w:w="80"/>
              <w:right w:type="dxa" w:w="140"/>
            </w:tcMar>
          </w:tcPr>
          <w:p>
            <w:r>
              <w:rPr>
                <w:rFonts w:ascii="Arial" w:cs="Arial" w:eastAsia="Arial" w:hAnsi="Arial"/>
                <w:color w:val="1A1A18"/>
                <w:sz w:val="18"/>
                <w:szCs w:val="18"/>
              </w:rPr>
              <w:t xml:space="preserve">How new customers find and convert to paying users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6B5E"/>
                <w:sz w:val="18"/>
                <w:szCs w:val="18"/>
              </w:rPr>
              <w:t xml:space="preserve">Activation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8"/>
                <w:sz w:val="18"/>
                <w:szCs w:val="18"/>
              </w:rPr>
              <w:t xml:space="preserve">How customers reach their first meaningful value moment — the 'aha moment'</w:t>
            </w:r>
          </w:p>
        </w:tc>
      </w:tr>
      <w:tr>
        <w:tc>
          <w:tcPr>
            <w:tcW w:type="dxa" w:w="1600"/>
            <w:tcBorders>
              <w:top w:val="single" w:color="CCCCCC" w:sz="1"/>
              <w:left w:val="single" w:color="CCCCCC" w:sz="1"/>
              <w:bottom w:val="single" w:color="CCCCCC" w:sz="1"/>
              <w:right w:val="single" w:color="CCCCCC" w:sz="1"/>
            </w:tcBorders>
            <w:shd w:fill="F5F3EE" w:val="clear"/>
            <w:tcMar>
              <w:top w:type="dxa" w:w="80"/>
              <w:left w:type="dxa" w:w="140"/>
              <w:bottom w:type="dxa" w:w="80"/>
              <w:right w:type="dxa" w:w="140"/>
            </w:tcMar>
          </w:tcPr>
          <w:p>
            <w:r>
              <w:rPr>
                <w:rFonts w:ascii="Arial" w:cs="Arial" w:eastAsia="Arial" w:hAnsi="Arial"/>
                <w:b/>
                <w:bCs/>
                <w:color w:val="1E6B5E"/>
                <w:sz w:val="18"/>
                <w:szCs w:val="18"/>
              </w:rPr>
              <w:t xml:space="preserve">Retention</w:t>
            </w:r>
          </w:p>
        </w:tc>
        <w:tc>
          <w:tcPr>
            <w:tcW w:type="dxa" w:w="7760"/>
            <w:tcBorders>
              <w:top w:val="single" w:color="CCCCCC" w:sz="1"/>
              <w:left w:val="single" w:color="CCCCCC" w:sz="1"/>
              <w:bottom w:val="single" w:color="CCCCCC" w:sz="1"/>
              <w:right w:val="single" w:color="CCCCCC" w:sz="1"/>
            </w:tcBorders>
            <w:shd w:fill="F5F3EE" w:val="clear"/>
            <w:tcMar>
              <w:top w:type="dxa" w:w="80"/>
              <w:left w:type="dxa" w:w="140"/>
              <w:bottom w:type="dxa" w:w="80"/>
              <w:right w:type="dxa" w:w="140"/>
            </w:tcMar>
          </w:tcPr>
          <w:p>
            <w:r>
              <w:rPr>
                <w:rFonts w:ascii="Arial" w:cs="Arial" w:eastAsia="Arial" w:hAnsi="Arial"/>
                <w:color w:val="1A1A18"/>
                <w:sz w:val="18"/>
                <w:szCs w:val="18"/>
              </w:rPr>
              <w:t xml:space="preserve">What keeps customers engaged and subscribed over time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6B5E"/>
                <w:sz w:val="18"/>
                <w:szCs w:val="18"/>
              </w:rPr>
              <w:t xml:space="preserve">Expansion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8"/>
                <w:sz w:val="18"/>
                <w:szCs w:val="18"/>
              </w:rPr>
              <w:t xml:space="preserve">How revenue per customer grows — upsells, renewals, premium tiers</w:t>
            </w:r>
          </w:p>
        </w:tc>
      </w:tr>
      <w:tr>
        <w:tc>
          <w:tcPr>
            <w:tcW w:type="dxa" w:w="1600"/>
            <w:tcBorders>
              <w:top w:val="single" w:color="CCCCCC" w:sz="1"/>
              <w:left w:val="single" w:color="CCCCCC" w:sz="1"/>
              <w:bottom w:val="single" w:color="CCCCCC" w:sz="1"/>
              <w:right w:val="single" w:color="CCCCCC" w:sz="1"/>
            </w:tcBorders>
            <w:shd w:fill="F5F3EE" w:val="clear"/>
            <w:tcMar>
              <w:top w:type="dxa" w:w="80"/>
              <w:left w:type="dxa" w:w="140"/>
              <w:bottom w:type="dxa" w:w="80"/>
              <w:right w:type="dxa" w:w="140"/>
            </w:tcMar>
          </w:tcPr>
          <w:p>
            <w:r>
              <w:rPr>
                <w:rFonts w:ascii="Arial" w:cs="Arial" w:eastAsia="Arial" w:hAnsi="Arial"/>
                <w:b/>
                <w:bCs/>
                <w:color w:val="1E6B5E"/>
                <w:sz w:val="18"/>
                <w:szCs w:val="18"/>
              </w:rPr>
              <w:t xml:space="preserve">Referral</w:t>
            </w:r>
          </w:p>
        </w:tc>
        <w:tc>
          <w:tcPr>
            <w:tcW w:type="dxa" w:w="7760"/>
            <w:tcBorders>
              <w:top w:val="single" w:color="CCCCCC" w:sz="1"/>
              <w:left w:val="single" w:color="CCCCCC" w:sz="1"/>
              <w:bottom w:val="single" w:color="CCCCCC" w:sz="1"/>
              <w:right w:val="single" w:color="CCCCCC" w:sz="1"/>
            </w:tcBorders>
            <w:shd w:fill="F5F3EE" w:val="clear"/>
            <w:tcMar>
              <w:top w:type="dxa" w:w="80"/>
              <w:left w:type="dxa" w:w="140"/>
              <w:bottom w:type="dxa" w:w="80"/>
              <w:right w:type="dxa" w:w="140"/>
            </w:tcMar>
          </w:tcPr>
          <w:p>
            <w:r>
              <w:rPr>
                <w:rFonts w:ascii="Arial" w:cs="Arial" w:eastAsia="Arial" w:hAnsi="Arial"/>
                <w:color w:val="1A1A18"/>
                <w:sz w:val="18"/>
                <w:szCs w:val="18"/>
              </w:rPr>
              <w:t xml:space="preserve">How existing customers bring new customers organically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6B5E"/>
                <w:sz w:val="18"/>
                <w:szCs w:val="18"/>
              </w:rPr>
              <w:t xml:space="preserve">Behaviour Change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8"/>
                <w:sz w:val="18"/>
                <w:szCs w:val="18"/>
              </w:rPr>
              <w:t xml:space="preserve">Specific to health products — what actually drives compliance and real-world action</w:t>
            </w:r>
          </w:p>
        </w:tc>
      </w:tr>
    </w:tbl>
    <w:p>
      <w:pPr>
        <w:spacing w:before="0" w:after="0"/>
      </w:pPr>
      <w:r>
        <w:t xml:space="preserve"/>
      </w:r>
    </w:p>
    <w:p>
      <w:pPr>
        <w:spacing w:before="40" w:after="80"/>
      </w:pPr>
      <w:r>
        <w:rPr>
          <w:rFonts w:ascii="Arial" w:cs="Arial" w:eastAsia="Arial" w:hAnsi="Arial"/>
          <w:color w:val="1A1A18"/>
          <w:sz w:val="20"/>
          <w:szCs w:val="20"/>
        </w:rPr>
        <w:t xml:space="preserve">A product that scores well on acquisition but poorly on retention is a leaky bucket. A product that scores well on behaviour change but poorly on referral stays small. All six vectors are required to build something genuinely large and defensible.</w:t>
      </w:r>
    </w:p>
    <w:p>
      <w:r>
        <w:br w:type="page"/>
      </w:r>
    </w:p>
    <w:p>
      <w:pPr>
        <w:pStyle w:val="Heading2"/>
        <w:spacing w:before="280" w:after="80"/>
      </w:pPr>
      <w:r>
        <w:rPr>
          <w:rFonts w:ascii="Arial" w:cs="Arial" w:eastAsia="Arial" w:hAnsi="Arial"/>
          <w:b/>
          <w:bCs/>
          <w:color w:val="1E6B5E"/>
          <w:sz w:val="26"/>
          <w:szCs w:val="26"/>
        </w:rPr>
        <w:t xml:space="preserve">1. Interactive web-based format instead of PDF</w:t>
      </w:r>
    </w:p>
    <w:p>
      <w:pPr>
        <w:shd w:fill="E8F5F2" w:val="clear"/>
        <w:spacing w:before="60" w:after="60"/>
      </w:pPr>
      <w:r>
        <w:rPr>
          <w:rFonts w:ascii="Arial" w:cs="Arial" w:eastAsia="Arial" w:hAnsi="Arial"/>
          <w:b/>
          <w:bCs/>
          <w:color w:val="1E6B5E"/>
          <w:sz w:val="20"/>
          <w:szCs w:val="20"/>
        </w:rPr>
        <w:t xml:space="preserve">    Overall: Very High — Foundation    </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1E6B5E" w:sz="1"/>
              <w:left w:val="single" w:color="1E6B5E" w:sz="1"/>
              <w:bottom w:val="single" w:color="1E6B5E" w:sz="1"/>
              <w:right w:val="single" w:color="1E6B5E" w:sz="1"/>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Vector</w:t>
            </w:r>
          </w:p>
        </w:tc>
        <w:tc>
          <w:tcPr>
            <w:tcW w:type="dxa" w:w="1200"/>
            <w:tcBorders>
              <w:top w:val="single" w:color="1E6B5E" w:sz="1"/>
              <w:left w:val="single" w:color="1E6B5E" w:sz="1"/>
              <w:bottom w:val="single" w:color="1E6B5E" w:sz="1"/>
              <w:right w:val="single" w:color="1E6B5E" w:sz="1"/>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Score</w:t>
            </w:r>
          </w:p>
        </w:tc>
        <w:tc>
          <w:tcPr>
            <w:tcW w:type="dxa" w:w="5960"/>
            <w:tcBorders>
              <w:top w:val="single" w:color="1E6B5E" w:sz="1"/>
              <w:left w:val="single" w:color="1E6B5E" w:sz="1"/>
              <w:bottom w:val="single" w:color="1E6B5E" w:sz="1"/>
              <w:right w:val="single" w:color="1E6B5E" w:sz="1"/>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Acquisition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B87A1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Shareable links vs unshareable PDFs. Modest direct impact.</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Activation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Transformative. The 'aha moment' happens instantly instead of after reading 37 pages.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Retention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Something to return to vs a document opened once and filed.</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Expansion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B87A1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Platform becomes the natural home for upsell conversations.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Referral</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'Have you seen my health dashboard?' is a much better conversation starter than 'I got a PDF'.</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Behaviour Change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Accessibility at the point of decision is the #1 driver of compliance.</w:t>
            </w:r>
          </w:p>
        </w:tc>
      </w:tr>
    </w:tbl>
    <w:p>
      <w:pPr>
        <w:spacing w:before="0" w:after="0"/>
      </w:pPr>
      <w:r>
        <w:t xml:space="preserve"/>
      </w:r>
    </w:p>
    <w:p>
      <w:pPr>
        <w:spacing w:before="200" w:after="60"/>
      </w:pPr>
      <w:r>
        <w:rPr>
          <w:rFonts w:ascii="Arial" w:cs="Arial" w:eastAsia="Arial" w:hAnsi="Arial"/>
          <w:b/>
          <w:bCs/>
          <w:color w:val="1A1A18"/>
          <w:sz w:val="22"/>
          <w:szCs w:val="22"/>
        </w:rPr>
        <w:t xml:space="preserve">Pros</w:t>
      </w:r>
    </w:p>
    <w:p>
      <w:pPr>
        <w:pStyle w:val="ListParagraph"/>
        <w:numPr>
          <w:ilvl w:val="0"/>
          <w:numId w:val="2"/>
        </w:numPr>
        <w:spacing w:before="30" w:after="30"/>
      </w:pPr>
      <w:r>
        <w:rPr>
          <w:rFonts w:ascii="Arial" w:cs="Arial" w:eastAsia="Arial" w:hAnsi="Arial"/>
          <w:color w:val="1A1A18"/>
          <w:sz w:val="20"/>
          <w:szCs w:val="20"/>
        </w:rPr>
        <w:t xml:space="preserve">Lowest hanging fruit with highest impact per unit of effort.</w:t>
      </w:r>
    </w:p>
    <w:p>
      <w:pPr>
        <w:pStyle w:val="ListParagraph"/>
        <w:numPr>
          <w:ilvl w:val="0"/>
          <w:numId w:val="2"/>
        </w:numPr>
        <w:spacing w:before="30" w:after="30"/>
      </w:pPr>
      <w:r>
        <w:rPr>
          <w:rFonts w:ascii="Arial" w:cs="Arial" w:eastAsia="Arial" w:hAnsi="Arial"/>
          <w:color w:val="1A1A18"/>
          <w:sz w:val="20"/>
          <w:szCs w:val="20"/>
        </w:rPr>
        <w:t xml:space="preserve">Changes the entire product experience without altering the underlying science.</w:t>
      </w:r>
    </w:p>
    <w:p>
      <w:pPr>
        <w:pStyle w:val="ListParagraph"/>
        <w:numPr>
          <w:ilvl w:val="0"/>
          <w:numId w:val="2"/>
        </w:numPr>
        <w:spacing w:before="30" w:after="30"/>
      </w:pPr>
      <w:r>
        <w:rPr>
          <w:rFonts w:ascii="Arial" w:cs="Arial" w:eastAsia="Arial" w:hAnsi="Arial"/>
          <w:color w:val="1A1A18"/>
          <w:sz w:val="20"/>
          <w:szCs w:val="20"/>
        </w:rPr>
        <w:t xml:space="preserve">Creates a persistent digital relationship vs a one-time document delivery.</w:t>
      </w:r>
    </w:p>
    <w:p>
      <w:pPr>
        <w:spacing w:before="200" w:after="60"/>
      </w:pPr>
      <w:r>
        <w:rPr>
          <w:rFonts w:ascii="Arial" w:cs="Arial" w:eastAsia="Arial" w:hAnsi="Arial"/>
          <w:b/>
          <w:bCs/>
          <w:color w:val="1A1A18"/>
          <w:sz w:val="22"/>
          <w:szCs w:val="22"/>
        </w:rPr>
        <w:t xml:space="preserve">Cons</w:t>
      </w:r>
    </w:p>
    <w:p>
      <w:pPr>
        <w:pStyle w:val="ListParagraph"/>
        <w:numPr>
          <w:ilvl w:val="0"/>
          <w:numId w:val="2"/>
        </w:numPr>
        <w:spacing w:before="30" w:after="30"/>
      </w:pPr>
      <w:r>
        <w:rPr>
          <w:rFonts w:ascii="Arial" w:cs="Arial" w:eastAsia="Arial" w:hAnsi="Arial"/>
          <w:color w:val="1A1A18"/>
          <w:sz w:val="20"/>
          <w:szCs w:val="20"/>
        </w:rPr>
        <w:t xml:space="preserve">Requires ongoing maintenance vs a PDF that exists indefinitely.</w:t>
      </w:r>
    </w:p>
    <w:p>
      <w:pPr>
        <w:pStyle w:val="ListParagraph"/>
        <w:numPr>
          <w:ilvl w:val="0"/>
          <w:numId w:val="2"/>
        </w:numPr>
        <w:spacing w:before="30" w:after="30"/>
      </w:pPr>
      <w:r>
        <w:rPr>
          <w:rFonts w:ascii="Arial" w:cs="Arial" w:eastAsia="Arial" w:hAnsi="Arial"/>
          <w:color w:val="1A1A18"/>
          <w:sz w:val="20"/>
          <w:szCs w:val="20"/>
        </w:rPr>
        <w:t xml:space="preserve">Data hosting and GDPR obligations begin here — legal costs increase.</w:t>
      </w:r>
    </w:p>
    <w:p>
      <w:pPr>
        <w:spacing w:before="200" w:after="60"/>
      </w:pPr>
      <w:r>
        <w:rPr>
          <w:rFonts w:ascii="Arial" w:cs="Arial" w:eastAsia="Arial" w:hAnsi="Arial"/>
          <w:b/>
          <w:bCs/>
          <w:color w:val="1A1A18"/>
          <w:sz w:val="22"/>
          <w:szCs w:val="22"/>
        </w:rPr>
        <w:t xml:space="preserve">Risks</w:t>
      </w:r>
    </w:p>
    <w:p>
      <w:pPr>
        <w:pStyle w:val="ListParagraph"/>
        <w:numPr>
          <w:ilvl w:val="0"/>
          <w:numId w:val="2"/>
        </w:numPr>
        <w:spacing w:before="30" w:after="30"/>
      </w:pPr>
      <w:r>
        <w:rPr>
          <w:rFonts w:ascii="Arial" w:cs="Arial" w:eastAsia="Arial" w:hAnsi="Arial"/>
          <w:color w:val="1A1A18"/>
          <w:sz w:val="20"/>
          <w:szCs w:val="20"/>
        </w:rPr>
        <w:t xml:space="preserve">An interactive format exposes the report's structural weaknesses more clearly. Customer questions and complaints may increase. The content problems become harder to hide behind a professional-looking PDF.</w:t>
      </w:r>
    </w:p>
    <w:p>
      <w:pPr>
        <w:spacing w:before="200" w:after="60"/>
      </w:pPr>
      <w:r>
        <w:rPr>
          <w:rFonts w:ascii="Arial" w:cs="Arial" w:eastAsia="Arial" w:hAnsi="Arial"/>
          <w:b/>
          <w:bCs/>
          <w:color w:val="1A1A18"/>
          <w:sz w:val="22"/>
          <w:szCs w:val="22"/>
        </w:rPr>
        <w:t xml:space="preserve">Verdict</w:t>
      </w:r>
    </w:p>
    <w:p>
      <w:pPr>
        <w:spacing w:before="40" w:after="80"/>
      </w:pPr>
      <w:r>
        <w:rPr>
          <w:rFonts w:ascii="Arial" w:cs="Arial" w:eastAsia="Arial" w:hAnsi="Arial"/>
          <w:color w:val="1A1A18"/>
          <w:sz w:val="20"/>
          <w:szCs w:val="20"/>
        </w:rPr>
        <w:t xml:space="preserve">This is the foundation everything else is built on. Without it, most other improvements are impossible to deliver effectively. Build this first.</w:t>
      </w:r>
    </w:p>
    <w:p>
      <w:pPr>
        <w:spacing w:before="0" w:after="0"/>
      </w:pPr>
      <w:r>
        <w:t xml:space="preserve"/>
      </w:r>
    </w:p>
    <w:p>
      <w:pPr>
        <w:pStyle w:val="Heading2"/>
        <w:spacing w:before="280" w:after="80"/>
      </w:pPr>
      <w:r>
        <w:rPr>
          <w:rFonts w:ascii="Arial" w:cs="Arial" w:eastAsia="Arial" w:hAnsi="Arial"/>
          <w:b/>
          <w:bCs/>
          <w:color w:val="1E6B5E"/>
          <w:sz w:val="26"/>
          <w:szCs w:val="26"/>
        </w:rPr>
        <w:t xml:space="preserve">2. AI to navigate content and translate into actionable guidance</w:t>
      </w:r>
    </w:p>
    <w:p>
      <w:pPr>
        <w:shd w:fill="E8F5F2" w:val="clear"/>
        <w:spacing w:before="60" w:after="60"/>
      </w:pPr>
      <w:r>
        <w:rPr>
          <w:rFonts w:ascii="Arial" w:cs="Arial" w:eastAsia="Arial" w:hAnsi="Arial"/>
          <w:b/>
          <w:bCs/>
          <w:color w:val="1E6B5E"/>
          <w:sz w:val="20"/>
          <w:szCs w:val="20"/>
        </w:rPr>
        <w:t xml:space="preserve">    Overall: Exceptional    </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1E6B5E" w:sz="1"/>
              <w:left w:val="single" w:color="1E6B5E" w:sz="1"/>
              <w:bottom w:val="single" w:color="1E6B5E" w:sz="1"/>
              <w:right w:val="single" w:color="1E6B5E" w:sz="1"/>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Vector</w:t>
            </w:r>
          </w:p>
        </w:tc>
        <w:tc>
          <w:tcPr>
            <w:tcW w:type="dxa" w:w="1200"/>
            <w:tcBorders>
              <w:top w:val="single" w:color="1E6B5E" w:sz="1"/>
              <w:left w:val="single" w:color="1E6B5E" w:sz="1"/>
              <w:bottom w:val="single" w:color="1E6B5E" w:sz="1"/>
              <w:right w:val="single" w:color="1E6B5E" w:sz="1"/>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Score</w:t>
            </w:r>
          </w:p>
        </w:tc>
        <w:tc>
          <w:tcPr>
            <w:tcW w:type="dxa" w:w="5960"/>
            <w:tcBorders>
              <w:top w:val="single" w:color="1E6B5E" w:sz="1"/>
              <w:left w:val="single" w:color="1E6B5E" w:sz="1"/>
              <w:bottom w:val="single" w:color="1E6B5E" w:sz="1"/>
              <w:right w:val="single" w:color="1E6B5E" w:sz="1"/>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Acquisition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'AI-powered personalised nutrition' is a strong marketing hook in 2026.</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Activation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Transforms a confusing report into an immediate, personalised conversation.</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Retention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AI companions are the most powerful retention mechanism in consumer apps.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Expansion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Natural gateway to premium tiers and higher-value service plans.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Referral</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AI health companions are highly word-of-mouth — people demonstrate them to friends.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Behaviour Change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Personalised, contextual guidance at the point of decision is the gold standard.</w:t>
            </w:r>
          </w:p>
        </w:tc>
      </w:tr>
    </w:tbl>
    <w:p>
      <w:pPr>
        <w:spacing w:before="0" w:after="0"/>
      </w:pPr>
      <w:r>
        <w:t xml:space="preserve"/>
      </w:r>
    </w:p>
    <w:p>
      <w:pPr>
        <w:spacing w:before="200" w:after="60"/>
      </w:pPr>
      <w:r>
        <w:rPr>
          <w:rFonts w:ascii="Arial" w:cs="Arial" w:eastAsia="Arial" w:hAnsi="Arial"/>
          <w:b/>
          <w:bCs/>
          <w:color w:val="1A1A18"/>
          <w:sz w:val="22"/>
          <w:szCs w:val="22"/>
        </w:rPr>
        <w:t xml:space="preserve">Pros</w:t>
      </w:r>
    </w:p>
    <w:p>
      <w:pPr>
        <w:pStyle w:val="ListParagraph"/>
        <w:numPr>
          <w:ilvl w:val="0"/>
          <w:numId w:val="2"/>
        </w:numPr>
        <w:spacing w:before="30" w:after="30"/>
      </w:pPr>
      <w:r>
        <w:rPr>
          <w:rFonts w:ascii="Arial" w:cs="Arial" w:eastAsia="Arial" w:hAnsi="Arial"/>
          <w:color w:val="1A1A18"/>
          <w:sz w:val="20"/>
          <w:szCs w:val="20"/>
        </w:rPr>
        <w:t xml:space="preserve">Single biggest lever for both retention and behaviour change simultaneously.</w:t>
      </w:r>
    </w:p>
    <w:p>
      <w:pPr>
        <w:pStyle w:val="ListParagraph"/>
        <w:numPr>
          <w:ilvl w:val="0"/>
          <w:numId w:val="2"/>
        </w:numPr>
        <w:spacing w:before="30" w:after="30"/>
      </w:pPr>
      <w:r>
        <w:rPr>
          <w:rFonts w:ascii="Arial" w:cs="Arial" w:eastAsia="Arial" w:hAnsi="Arial"/>
          <w:color w:val="1A1A18"/>
          <w:sz w:val="20"/>
          <w:szCs w:val="20"/>
        </w:rPr>
        <w:t xml:space="preserve">The most defensible competitive moat — the AI improves as it learns the GEK Lab methodology more deeply.</w:t>
      </w:r>
    </w:p>
    <w:p>
      <w:pPr>
        <w:pStyle w:val="ListParagraph"/>
        <w:numPr>
          <w:ilvl w:val="0"/>
          <w:numId w:val="2"/>
        </w:numPr>
        <w:spacing w:before="30" w:after="30"/>
      </w:pPr>
      <w:r>
        <w:rPr>
          <w:rFonts w:ascii="Arial" w:cs="Arial" w:eastAsia="Arial" w:hAnsi="Arial"/>
          <w:color w:val="1A1A18"/>
          <w:sz w:val="20"/>
          <w:szCs w:val="20"/>
        </w:rPr>
        <w:t xml:space="preserve">Creates a 24/7 clinical presence without clinical staffing costs.</w:t>
      </w:r>
    </w:p>
    <w:p>
      <w:pPr>
        <w:spacing w:before="200" w:after="60"/>
      </w:pPr>
      <w:r>
        <w:rPr>
          <w:rFonts w:ascii="Arial" w:cs="Arial" w:eastAsia="Arial" w:hAnsi="Arial"/>
          <w:b/>
          <w:bCs/>
          <w:color w:val="1A1A18"/>
          <w:sz w:val="22"/>
          <w:szCs w:val="22"/>
        </w:rPr>
        <w:t xml:space="preserve">Cons</w:t>
      </w:r>
    </w:p>
    <w:p>
      <w:pPr>
        <w:pStyle w:val="ListParagraph"/>
        <w:numPr>
          <w:ilvl w:val="0"/>
          <w:numId w:val="2"/>
        </w:numPr>
        <w:spacing w:before="30" w:after="30"/>
      </w:pPr>
      <w:r>
        <w:rPr>
          <w:rFonts w:ascii="Arial" w:cs="Arial" w:eastAsia="Arial" w:hAnsi="Arial"/>
          <w:color w:val="1A1A18"/>
          <w:sz w:val="20"/>
          <w:szCs w:val="20"/>
        </w:rPr>
        <w:t xml:space="preserve">Requires careful prompt engineering to stay within safe medical communication boundaries.</w:t>
      </w:r>
    </w:p>
    <w:p>
      <w:pPr>
        <w:pStyle w:val="ListParagraph"/>
        <w:numPr>
          <w:ilvl w:val="0"/>
          <w:numId w:val="2"/>
        </w:numPr>
        <w:spacing w:before="30" w:after="30"/>
      </w:pPr>
      <w:r>
        <w:rPr>
          <w:rFonts w:ascii="Arial" w:cs="Arial" w:eastAsia="Arial" w:hAnsi="Arial"/>
          <w:color w:val="1A1A18"/>
          <w:sz w:val="20"/>
          <w:szCs w:val="20"/>
        </w:rPr>
        <w:t xml:space="preserve">Ongoing AI operational costs (API usage) scale with user base.</w:t>
      </w:r>
    </w:p>
    <w:p>
      <w:pPr>
        <w:spacing w:before="200" w:after="60"/>
      </w:pPr>
      <w:r>
        <w:rPr>
          <w:rFonts w:ascii="Arial" w:cs="Arial" w:eastAsia="Arial" w:hAnsi="Arial"/>
          <w:b/>
          <w:bCs/>
          <w:color w:val="1A1A18"/>
          <w:sz w:val="22"/>
          <w:szCs w:val="22"/>
        </w:rPr>
        <w:t xml:space="preserve">Risks</w:t>
      </w:r>
    </w:p>
    <w:p>
      <w:pPr>
        <w:pStyle w:val="ListParagraph"/>
        <w:numPr>
          <w:ilvl w:val="0"/>
          <w:numId w:val="2"/>
        </w:numPr>
        <w:spacing w:before="30" w:after="30"/>
      </w:pPr>
      <w:r>
        <w:rPr>
          <w:rFonts w:ascii="Arial" w:cs="Arial" w:eastAsia="Arial" w:hAnsi="Arial"/>
          <w:color w:val="1A1A18"/>
          <w:sz w:val="20"/>
          <w:szCs w:val="20"/>
        </w:rPr>
        <w:t xml:space="preserve">AI hallucination in a medical context is not a minor UX bug — it is a potential harm event. Needs robust guardrails, clear disclaimers, and human escalation pathways. Regulatory landscape for AI in medical advice is evolving rapidly and could impose constraints post-launch.</w:t>
      </w:r>
    </w:p>
    <w:p>
      <w:pPr>
        <w:spacing w:before="200" w:after="60"/>
      </w:pPr>
      <w:r>
        <w:rPr>
          <w:rFonts w:ascii="Arial" w:cs="Arial" w:eastAsia="Arial" w:hAnsi="Arial"/>
          <w:b/>
          <w:bCs/>
          <w:color w:val="1A1A18"/>
          <w:sz w:val="22"/>
          <w:szCs w:val="22"/>
        </w:rPr>
        <w:t xml:space="preserve">Verdict</w:t>
      </w:r>
    </w:p>
    <w:p>
      <w:pPr>
        <w:spacing w:before="40" w:after="80"/>
      </w:pPr>
      <w:r>
        <w:rPr>
          <w:rFonts w:ascii="Arial" w:cs="Arial" w:eastAsia="Arial" w:hAnsi="Arial"/>
          <w:color w:val="1A1A18"/>
          <w:sz w:val="20"/>
          <w:szCs w:val="20"/>
        </w:rPr>
        <w:t xml:space="preserve">The highest-leverage feature in the entire roadmap. Also the highest-risk. Build it carefully, not fast. This is the feature that creates the competitive moat.</w:t>
      </w:r>
    </w:p>
    <w:p>
      <w:pPr>
        <w:spacing w:before="0" w:after="0"/>
      </w:pPr>
      <w:r>
        <w:t xml:space="preserve"/>
      </w:r>
    </w:p>
    <w:p>
      <w:pPr>
        <w:pStyle w:val="Heading2"/>
        <w:spacing w:before="280" w:after="80"/>
      </w:pPr>
      <w:r>
        <w:rPr>
          <w:rFonts w:ascii="Arial" w:cs="Arial" w:eastAsia="Arial" w:hAnsi="Arial"/>
          <w:b/>
          <w:bCs/>
          <w:color w:val="1E6B5E"/>
          <w:sz w:val="26"/>
          <w:szCs w:val="26"/>
        </w:rPr>
        <w:t xml:space="preserve">3. Translate recommendations into everyday meals, not ingredients</w:t>
      </w:r>
    </w:p>
    <w:p>
      <w:pPr>
        <w:shd w:fill="E8F5F2" w:val="clear"/>
        <w:spacing w:before="60" w:after="60"/>
      </w:pPr>
      <w:r>
        <w:rPr>
          <w:rFonts w:ascii="Arial" w:cs="Arial" w:eastAsia="Arial" w:hAnsi="Arial"/>
          <w:b/>
          <w:bCs/>
          <w:color w:val="1E6B5E"/>
          <w:sz w:val="20"/>
          <w:szCs w:val="20"/>
        </w:rPr>
        <w:t xml:space="preserve">    Overall: Exceptional    </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1E6B5E" w:sz="1"/>
              <w:left w:val="single" w:color="1E6B5E" w:sz="1"/>
              <w:bottom w:val="single" w:color="1E6B5E" w:sz="1"/>
              <w:right w:val="single" w:color="1E6B5E" w:sz="1"/>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Vector</w:t>
            </w:r>
          </w:p>
        </w:tc>
        <w:tc>
          <w:tcPr>
            <w:tcW w:type="dxa" w:w="1200"/>
            <w:tcBorders>
              <w:top w:val="single" w:color="1E6B5E" w:sz="1"/>
              <w:left w:val="single" w:color="1E6B5E" w:sz="1"/>
              <w:bottom w:val="single" w:color="1E6B5E" w:sz="1"/>
              <w:right w:val="single" w:color="1E6B5E" w:sz="1"/>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Score</w:t>
            </w:r>
          </w:p>
        </w:tc>
        <w:tc>
          <w:tcPr>
            <w:tcW w:type="dxa" w:w="5960"/>
            <w:tcBorders>
              <w:top w:val="single" w:color="1E6B5E" w:sz="1"/>
              <w:left w:val="single" w:color="1E6B5E" w:sz="1"/>
              <w:bottom w:val="single" w:color="1E6B5E" w:sz="1"/>
              <w:right w:val="single" w:color="1E6B5E" w:sz="1"/>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Acquisition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B87A1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Modest direct acquisition impact — primarily a retention and referral driver.</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Activation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Closing the gap between 'what should I avoid' and 'what do I eat tonight' is the activation moment.</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Retention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Daily utility drives daily return. Recipes are inherently habitual content.</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Expansion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Recipe premium tiers, meal planning upgrades, shopping list integrations.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Referral</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Recipes are the most shared content category in all of consumer internet.</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Behaviour Change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This is where compliance actually lives — not in knowledge but in practical daily execution.</w:t>
            </w:r>
          </w:p>
        </w:tc>
      </w:tr>
    </w:tbl>
    <w:p>
      <w:pPr>
        <w:spacing w:before="0" w:after="0"/>
      </w:pPr>
      <w:r>
        <w:t xml:space="preserve"/>
      </w:r>
    </w:p>
    <w:p>
      <w:pPr>
        <w:spacing w:before="200" w:after="60"/>
      </w:pPr>
      <w:r>
        <w:rPr>
          <w:rFonts w:ascii="Arial" w:cs="Arial" w:eastAsia="Arial" w:hAnsi="Arial"/>
          <w:b/>
          <w:bCs/>
          <w:color w:val="1A1A18"/>
          <w:sz w:val="22"/>
          <w:szCs w:val="22"/>
        </w:rPr>
        <w:t xml:space="preserve">Pros</w:t>
      </w:r>
    </w:p>
    <w:p>
      <w:pPr>
        <w:pStyle w:val="ListParagraph"/>
        <w:numPr>
          <w:ilvl w:val="0"/>
          <w:numId w:val="2"/>
        </w:numPr>
        <w:spacing w:before="30" w:after="30"/>
      </w:pPr>
      <w:r>
        <w:rPr>
          <w:rFonts w:ascii="Arial" w:cs="Arial" w:eastAsia="Arial" w:hAnsi="Arial"/>
          <w:color w:val="1A1A18"/>
          <w:sz w:val="20"/>
          <w:szCs w:val="20"/>
        </w:rPr>
        <w:t xml:space="preserve">Recipes are naturally viral — shareable, Instagram-able, Pinterest-able.</w:t>
      </w:r>
    </w:p>
    <w:p>
      <w:pPr>
        <w:pStyle w:val="ListParagraph"/>
        <w:numPr>
          <w:ilvl w:val="0"/>
          <w:numId w:val="2"/>
        </w:numPr>
        <w:spacing w:before="30" w:after="30"/>
      </w:pPr>
      <w:r>
        <w:rPr>
          <w:rFonts w:ascii="Arial" w:cs="Arial" w:eastAsia="Arial" w:hAnsi="Arial"/>
          <w:color w:val="1A1A18"/>
          <w:sz w:val="20"/>
          <w:szCs w:val="20"/>
        </w:rPr>
        <w:t xml:space="preserve">A GEK-compliant Italian recipe library is a content asset that grows in value and is hard to replicate quickly.</w:t>
      </w:r>
    </w:p>
    <w:p>
      <w:pPr>
        <w:pStyle w:val="ListParagraph"/>
        <w:numPr>
          <w:ilvl w:val="0"/>
          <w:numId w:val="2"/>
        </w:numPr>
        <w:spacing w:before="30" w:after="30"/>
      </w:pPr>
      <w:r>
        <w:rPr>
          <w:rFonts w:ascii="Arial" w:cs="Arial" w:eastAsia="Arial" w:hAnsi="Arial"/>
          <w:color w:val="1A1A18"/>
          <w:sz w:val="20"/>
          <w:szCs w:val="20"/>
        </w:rPr>
        <w:t xml:space="preserve">Makes the diet feel abundant rather than restrictive, dramatically improving adherence.</w:t>
      </w:r>
    </w:p>
    <w:p>
      <w:pPr>
        <w:spacing w:before="200" w:after="60"/>
      </w:pPr>
      <w:r>
        <w:rPr>
          <w:rFonts w:ascii="Arial" w:cs="Arial" w:eastAsia="Arial" w:hAnsi="Arial"/>
          <w:b/>
          <w:bCs/>
          <w:color w:val="1A1A18"/>
          <w:sz w:val="22"/>
          <w:szCs w:val="22"/>
        </w:rPr>
        <w:t xml:space="preserve">Cons</w:t>
      </w:r>
    </w:p>
    <w:p>
      <w:pPr>
        <w:pStyle w:val="ListParagraph"/>
        <w:numPr>
          <w:ilvl w:val="0"/>
          <w:numId w:val="2"/>
        </w:numPr>
        <w:spacing w:before="30" w:after="30"/>
      </w:pPr>
      <w:r>
        <w:rPr>
          <w:rFonts w:ascii="Arial" w:cs="Arial" w:eastAsia="Arial" w:hAnsi="Arial"/>
          <w:color w:val="1A1A18"/>
          <w:sz w:val="20"/>
          <w:szCs w:val="20"/>
        </w:rPr>
        <w:t xml:space="preserve">Content-intensive to do well. A small recipe library feels thin and disappoints immediately.</w:t>
      </w:r>
    </w:p>
    <w:p>
      <w:pPr>
        <w:pStyle w:val="ListParagraph"/>
        <w:numPr>
          <w:ilvl w:val="0"/>
          <w:numId w:val="2"/>
        </w:numPr>
        <w:spacing w:before="30" w:after="30"/>
      </w:pPr>
      <w:r>
        <w:rPr>
          <w:rFonts w:ascii="Arial" w:cs="Arial" w:eastAsia="Arial" w:hAnsi="Arial"/>
          <w:color w:val="1A1A18"/>
          <w:sz w:val="20"/>
          <w:szCs w:val="20"/>
        </w:rPr>
        <w:t xml:space="preserve">Requires cultural specificity — Italian recipes, not generic 'healthy eating' content.</w:t>
      </w:r>
    </w:p>
    <w:p>
      <w:pPr>
        <w:spacing w:before="200" w:after="60"/>
      </w:pPr>
      <w:r>
        <w:rPr>
          <w:rFonts w:ascii="Arial" w:cs="Arial" w:eastAsia="Arial" w:hAnsi="Arial"/>
          <w:b/>
          <w:bCs/>
          <w:color w:val="1A1A18"/>
          <w:sz w:val="22"/>
          <w:szCs w:val="22"/>
        </w:rPr>
        <w:t xml:space="preserve">Risks</w:t>
      </w:r>
    </w:p>
    <w:p>
      <w:pPr>
        <w:pStyle w:val="ListParagraph"/>
        <w:numPr>
          <w:ilvl w:val="0"/>
          <w:numId w:val="2"/>
        </w:numPr>
        <w:spacing w:before="30" w:after="30"/>
      </w:pPr>
      <w:r>
        <w:rPr>
          <w:rFonts w:ascii="Arial" w:cs="Arial" w:eastAsia="Arial" w:hAnsi="Arial"/>
          <w:color w:val="1A1A18"/>
          <w:sz w:val="20"/>
          <w:szCs w:val="20"/>
        </w:rPr>
        <w:t xml:space="preserve">If recipes contain a restricted ingredient, the trust damage in a medical context is severe. A rigorous content review process is non-negotiable. AI-generated recipes that hallucinate ingredients are particularly dangerous.</w:t>
      </w:r>
    </w:p>
    <w:p>
      <w:pPr>
        <w:spacing w:before="200" w:after="60"/>
      </w:pPr>
      <w:r>
        <w:rPr>
          <w:rFonts w:ascii="Arial" w:cs="Arial" w:eastAsia="Arial" w:hAnsi="Arial"/>
          <w:b/>
          <w:bCs/>
          <w:color w:val="1A1A18"/>
          <w:sz w:val="22"/>
          <w:szCs w:val="22"/>
        </w:rPr>
        <w:t xml:space="preserve">Verdict</w:t>
      </w:r>
    </w:p>
    <w:p>
      <w:pPr>
        <w:spacing w:before="40" w:after="80"/>
      </w:pPr>
      <w:r>
        <w:rPr>
          <w:rFonts w:ascii="Arial" w:cs="Arial" w:eastAsia="Arial" w:hAnsi="Arial"/>
          <w:color w:val="1A1A18"/>
          <w:sz w:val="20"/>
          <w:szCs w:val="20"/>
        </w:rPr>
        <w:t xml:space="preserve">Highest referral potential of any feature on this list. The recipe library is the organic growth flywheel if properly invested in.</w:t>
      </w:r>
    </w:p>
    <w:p>
      <w:pPr>
        <w:spacing w:before="0" w:after="0"/>
      </w:pPr>
      <w:r>
        <w:t xml:space="preserve"/>
      </w:r>
    </w:p>
    <w:p>
      <w:pPr>
        <w:pStyle w:val="Heading2"/>
        <w:spacing w:before="280" w:after="80"/>
      </w:pPr>
      <w:r>
        <w:rPr>
          <w:rFonts w:ascii="Arial" w:cs="Arial" w:eastAsia="Arial" w:hAnsi="Arial"/>
          <w:b/>
          <w:bCs/>
          <w:color w:val="1E6B5E"/>
          <w:sz w:val="26"/>
          <w:szCs w:val="26"/>
        </w:rPr>
        <w:t xml:space="preserve">4. Mobile companion to reduce daily cognitive load</w:t>
      </w:r>
    </w:p>
    <w:p>
      <w:pPr>
        <w:shd w:fill="E8F5F2" w:val="clear"/>
        <w:spacing w:before="60" w:after="60"/>
      </w:pPr>
      <w:r>
        <w:rPr>
          <w:rFonts w:ascii="Arial" w:cs="Arial" w:eastAsia="Arial" w:hAnsi="Arial"/>
          <w:b/>
          <w:bCs/>
          <w:color w:val="1E6B5E"/>
          <w:sz w:val="20"/>
          <w:szCs w:val="20"/>
        </w:rPr>
        <w:t xml:space="preserve">    Overall: Exceptional    </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1E6B5E" w:sz="1"/>
              <w:left w:val="single" w:color="1E6B5E" w:sz="1"/>
              <w:bottom w:val="single" w:color="1E6B5E" w:sz="1"/>
              <w:right w:val="single" w:color="1E6B5E" w:sz="1"/>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Vector</w:t>
            </w:r>
          </w:p>
        </w:tc>
        <w:tc>
          <w:tcPr>
            <w:tcW w:type="dxa" w:w="1200"/>
            <w:tcBorders>
              <w:top w:val="single" w:color="1E6B5E" w:sz="1"/>
              <w:left w:val="single" w:color="1E6B5E" w:sz="1"/>
              <w:bottom w:val="single" w:color="1E6B5E" w:sz="1"/>
              <w:right w:val="single" w:color="1E6B5E" w:sz="1"/>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Score</w:t>
            </w:r>
          </w:p>
        </w:tc>
        <w:tc>
          <w:tcPr>
            <w:tcW w:type="dxa" w:w="5960"/>
            <w:tcBorders>
              <w:top w:val="single" w:color="1E6B5E" w:sz="1"/>
              <w:left w:val="single" w:color="1E6B5E" w:sz="1"/>
              <w:bottom w:val="single" w:color="1E6B5E" w:sz="1"/>
              <w:right w:val="single" w:color="1E6B5E" w:sz="1"/>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Acquisition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B87A1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App store presence adds a channel but is not transformative on its own.</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Activation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Push notifications at meal time are a powerful activation trigger.</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Retention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Mobile is the highest-retention channel in consumer software.</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Expansion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Premium app tier is a natural and accepted revenue model for health apps.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Referral</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'What app is that?' is a powerful real-world referral trigger.</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Behaviour Change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Contextual nudges at the moment of food decision are the most evidence-backed behaviour change mechanism in digital health literature.</w:t>
            </w:r>
          </w:p>
        </w:tc>
      </w:tr>
    </w:tbl>
    <w:p>
      <w:pPr>
        <w:spacing w:before="0" w:after="0"/>
      </w:pPr>
      <w:r>
        <w:t xml:space="preserve"/>
      </w:r>
    </w:p>
    <w:p>
      <w:pPr>
        <w:spacing w:before="200" w:after="60"/>
      </w:pPr>
      <w:r>
        <w:rPr>
          <w:rFonts w:ascii="Arial" w:cs="Arial" w:eastAsia="Arial" w:hAnsi="Arial"/>
          <w:b/>
          <w:bCs/>
          <w:color w:val="1A1A18"/>
          <w:sz w:val="22"/>
          <w:szCs w:val="22"/>
        </w:rPr>
        <w:t xml:space="preserve">Pros</w:t>
      </w:r>
    </w:p>
    <w:p>
      <w:pPr>
        <w:pStyle w:val="ListParagraph"/>
        <w:numPr>
          <w:ilvl w:val="0"/>
          <w:numId w:val="2"/>
        </w:numPr>
        <w:spacing w:before="30" w:after="30"/>
      </w:pPr>
      <w:r>
        <w:rPr>
          <w:rFonts w:ascii="Arial" w:cs="Arial" w:eastAsia="Arial" w:hAnsi="Arial"/>
          <w:color w:val="1A1A18"/>
          <w:sz w:val="20"/>
          <w:szCs w:val="20"/>
        </w:rPr>
        <w:t xml:space="preserve">The phone is in the pocket at the supermarket, at the restaurant, at the fridge — every channel other than mobile requires the user to seek the product; mobile comes to the user.</w:t>
      </w:r>
    </w:p>
    <w:p>
      <w:pPr>
        <w:pStyle w:val="ListParagraph"/>
        <w:numPr>
          <w:ilvl w:val="0"/>
          <w:numId w:val="2"/>
        </w:numPr>
        <w:spacing w:before="30" w:after="30"/>
      </w:pPr>
      <w:r>
        <w:rPr>
          <w:rFonts w:ascii="Arial" w:cs="Arial" w:eastAsia="Arial" w:hAnsi="Arial"/>
          <w:color w:val="1A1A18"/>
          <w:sz w:val="20"/>
          <w:szCs w:val="20"/>
        </w:rPr>
        <w:t xml:space="preserve">In behaviour change research, proximity to the decision moment is the single most predictive factor of compliance.</w:t>
      </w:r>
    </w:p>
    <w:p>
      <w:pPr>
        <w:pStyle w:val="ListParagraph"/>
        <w:numPr>
          <w:ilvl w:val="0"/>
          <w:numId w:val="2"/>
        </w:numPr>
        <w:spacing w:before="30" w:after="30"/>
      </w:pPr>
      <w:r>
        <w:rPr>
          <w:rFonts w:ascii="Arial" w:cs="Arial" w:eastAsia="Arial" w:hAnsi="Arial"/>
          <w:color w:val="1A1A18"/>
          <w:sz w:val="20"/>
          <w:szCs w:val="20"/>
        </w:rPr>
        <w:t xml:space="preserve">Creates a daily touchpoint that no other format can replicate.</w:t>
      </w:r>
    </w:p>
    <w:p>
      <w:pPr>
        <w:spacing w:before="200" w:after="60"/>
      </w:pPr>
      <w:r>
        <w:rPr>
          <w:rFonts w:ascii="Arial" w:cs="Arial" w:eastAsia="Arial" w:hAnsi="Arial"/>
          <w:b/>
          <w:bCs/>
          <w:color w:val="1A1A18"/>
          <w:sz w:val="22"/>
          <w:szCs w:val="22"/>
        </w:rPr>
        <w:t xml:space="preserve">Cons</w:t>
      </w:r>
    </w:p>
    <w:p>
      <w:pPr>
        <w:pStyle w:val="ListParagraph"/>
        <w:numPr>
          <w:ilvl w:val="0"/>
          <w:numId w:val="2"/>
        </w:numPr>
        <w:spacing w:before="30" w:after="30"/>
      </w:pPr>
      <w:r>
        <w:rPr>
          <w:rFonts w:ascii="Arial" w:cs="Arial" w:eastAsia="Arial" w:hAnsi="Arial"/>
          <w:color w:val="1A1A18"/>
          <w:sz w:val="20"/>
          <w:szCs w:val="20"/>
        </w:rPr>
        <w:t xml:space="preserve">App development, app store approval, device fragmentation — mobile adds meaningful complexity and ongoing maintenance cost.</w:t>
      </w:r>
    </w:p>
    <w:p>
      <w:pPr>
        <w:pStyle w:val="ListParagraph"/>
        <w:numPr>
          <w:ilvl w:val="0"/>
          <w:numId w:val="2"/>
        </w:numPr>
        <w:spacing w:before="30" w:after="30"/>
      </w:pPr>
      <w:r>
        <w:rPr>
          <w:rFonts w:ascii="Arial" w:cs="Arial" w:eastAsia="Arial" w:hAnsi="Arial"/>
          <w:color w:val="1A1A18"/>
          <w:sz w:val="20"/>
          <w:szCs w:val="20"/>
        </w:rPr>
        <w:t xml:space="preserve">A poorly built mobile app actively damages the brand more than having no app at all.</w:t>
      </w:r>
    </w:p>
    <w:p>
      <w:pPr>
        <w:spacing w:before="200" w:after="60"/>
      </w:pPr>
      <w:r>
        <w:rPr>
          <w:rFonts w:ascii="Arial" w:cs="Arial" w:eastAsia="Arial" w:hAnsi="Arial"/>
          <w:b/>
          <w:bCs/>
          <w:color w:val="1A1A18"/>
          <w:sz w:val="22"/>
          <w:szCs w:val="22"/>
        </w:rPr>
        <w:t xml:space="preserve">Risks</w:t>
      </w:r>
    </w:p>
    <w:p>
      <w:pPr>
        <w:pStyle w:val="ListParagraph"/>
        <w:numPr>
          <w:ilvl w:val="0"/>
          <w:numId w:val="2"/>
        </w:numPr>
        <w:spacing w:before="30" w:after="30"/>
      </w:pPr>
      <w:r>
        <w:rPr>
          <w:rFonts w:ascii="Arial" w:cs="Arial" w:eastAsia="Arial" w:hAnsi="Arial"/>
          <w:color w:val="1A1A18"/>
          <w:sz w:val="20"/>
          <w:szCs w:val="20"/>
        </w:rPr>
        <w:t xml:space="preserve">Push notification fatigue is real. If the app becomes annoying, users disable notifications and the behaviour change mechanism collapses entirely. Notification strategy needs to be as carefully designed as the product itself.</w:t>
      </w:r>
    </w:p>
    <w:p>
      <w:pPr>
        <w:spacing w:before="200" w:after="60"/>
      </w:pPr>
      <w:r>
        <w:rPr>
          <w:rFonts w:ascii="Arial" w:cs="Arial" w:eastAsia="Arial" w:hAnsi="Arial"/>
          <w:b/>
          <w:bCs/>
          <w:color w:val="1A1A18"/>
          <w:sz w:val="22"/>
          <w:szCs w:val="22"/>
        </w:rPr>
        <w:t xml:space="preserve">Verdict</w:t>
      </w:r>
    </w:p>
    <w:p>
      <w:pPr>
        <w:spacing w:before="40" w:after="80"/>
      </w:pPr>
      <w:r>
        <w:rPr>
          <w:rFonts w:ascii="Arial" w:cs="Arial" w:eastAsia="Arial" w:hAnsi="Arial"/>
          <w:color w:val="1A1A18"/>
          <w:sz w:val="20"/>
          <w:szCs w:val="20"/>
        </w:rPr>
        <w:t xml:space="preserve">Build this as Phase 2, not Phase 1. A mobile Progressive Web App (PWA) gives 80% of the benefit at 20% of the cost as a solid starting point.</w:t>
      </w:r>
    </w:p>
    <w:p>
      <w:pPr>
        <w:spacing w:before="0" w:after="0"/>
      </w:pPr>
      <w:r>
        <w:t xml:space="preserve"/>
      </w:r>
    </w:p>
    <w:p>
      <w:pPr>
        <w:pStyle w:val="Heading2"/>
        <w:spacing w:before="280" w:after="80"/>
      </w:pPr>
      <w:r>
        <w:rPr>
          <w:rFonts w:ascii="Arial" w:cs="Arial" w:eastAsia="Arial" w:hAnsi="Arial"/>
          <w:b/>
          <w:bCs/>
          <w:color w:val="1E6B5E"/>
          <w:sz w:val="26"/>
          <w:szCs w:val="26"/>
        </w:rPr>
        <w:t xml:space="preserve">5. Companion helps with out-of-home meal choices</w:t>
      </w:r>
    </w:p>
    <w:p>
      <w:pPr>
        <w:shd w:fill="E8F5F2" w:val="clear"/>
        <w:spacing w:before="60" w:after="60"/>
      </w:pPr>
      <w:r>
        <w:rPr>
          <w:rFonts w:ascii="Arial" w:cs="Arial" w:eastAsia="Arial" w:hAnsi="Arial"/>
          <w:b/>
          <w:bCs/>
          <w:color w:val="1E6B5E"/>
          <w:sz w:val="20"/>
          <w:szCs w:val="20"/>
        </w:rPr>
        <w:t xml:space="preserve">    Overall: Exceptional — Highest Referral Potential    </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1E6B5E" w:sz="1"/>
              <w:left w:val="single" w:color="1E6B5E" w:sz="1"/>
              <w:bottom w:val="single" w:color="1E6B5E" w:sz="1"/>
              <w:right w:val="single" w:color="1E6B5E" w:sz="1"/>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Vector</w:t>
            </w:r>
          </w:p>
        </w:tc>
        <w:tc>
          <w:tcPr>
            <w:tcW w:type="dxa" w:w="1200"/>
            <w:tcBorders>
              <w:top w:val="single" w:color="1E6B5E" w:sz="1"/>
              <w:left w:val="single" w:color="1E6B5E" w:sz="1"/>
              <w:bottom w:val="single" w:color="1E6B5E" w:sz="1"/>
              <w:right w:val="single" w:color="1E6B5E" w:sz="1"/>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Score</w:t>
            </w:r>
          </w:p>
        </w:tc>
        <w:tc>
          <w:tcPr>
            <w:tcW w:type="dxa" w:w="5960"/>
            <w:tcBorders>
              <w:top w:val="single" w:color="1E6B5E" w:sz="1"/>
              <w:left w:val="single" w:color="1E6B5E" w:sz="1"/>
              <w:bottom w:val="single" w:color="1E6B5E" w:sz="1"/>
              <w:right w:val="single" w:color="1E6B5E" w:sz="1"/>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Acquisition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'The app that tells you what to order at a restaurant' is a highly talkable product concept.</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Activation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The moment someone uses it at a restaurant and it works — that is the defining product moment.</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Retention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Solving the hardest compliance scenario creates the deepest loyalty.</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Expansion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Restaurant partnerships, certified menus, B2B revenue stream emerge naturally.</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Referral</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'Watch this' moments at restaurants are among the most powerful word-of-mouth triggers that exist.</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Behaviour Change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Out-of-home is where compliance collapses for 90% of patients. Solving this is the holy grail of diet adherence.</w:t>
            </w:r>
          </w:p>
        </w:tc>
      </w:tr>
    </w:tbl>
    <w:p>
      <w:pPr>
        <w:spacing w:before="0" w:after="0"/>
      </w:pPr>
      <w:r>
        <w:t xml:space="preserve"/>
      </w:r>
    </w:p>
    <w:p>
      <w:pPr>
        <w:spacing w:before="200" w:after="60"/>
      </w:pPr>
      <w:r>
        <w:rPr>
          <w:rFonts w:ascii="Arial" w:cs="Arial" w:eastAsia="Arial" w:hAnsi="Arial"/>
          <w:b/>
          <w:bCs/>
          <w:color w:val="1A1A18"/>
          <w:sz w:val="22"/>
          <w:szCs w:val="22"/>
        </w:rPr>
        <w:t xml:space="preserve">Pros</w:t>
      </w:r>
    </w:p>
    <w:p>
      <w:pPr>
        <w:pStyle w:val="ListParagraph"/>
        <w:numPr>
          <w:ilvl w:val="0"/>
          <w:numId w:val="2"/>
        </w:numPr>
        <w:spacing w:before="30" w:after="30"/>
      </w:pPr>
      <w:r>
        <w:rPr>
          <w:rFonts w:ascii="Arial" w:cs="Arial" w:eastAsia="Arial" w:hAnsi="Arial"/>
          <w:color w:val="1A1A18"/>
          <w:sz w:val="20"/>
          <w:szCs w:val="20"/>
        </w:rPr>
        <w:t xml:space="preserve">Every restaurant moment is a potential live referral in front of other people.</w:t>
      </w:r>
    </w:p>
    <w:p>
      <w:pPr>
        <w:pStyle w:val="ListParagraph"/>
        <w:numPr>
          <w:ilvl w:val="0"/>
          <w:numId w:val="2"/>
        </w:numPr>
        <w:spacing w:before="30" w:after="30"/>
      </w:pPr>
      <w:r>
        <w:rPr>
          <w:rFonts w:ascii="Arial" w:cs="Arial" w:eastAsia="Arial" w:hAnsi="Arial"/>
          <w:color w:val="1A1A18"/>
          <w:sz w:val="20"/>
          <w:szCs w:val="20"/>
        </w:rPr>
        <w:t xml:space="preserve">Opens an entirely new B2B revenue stream — restaurants paying for 'GEK-certified' menu designation.</w:t>
      </w:r>
    </w:p>
    <w:p>
      <w:pPr>
        <w:pStyle w:val="ListParagraph"/>
        <w:numPr>
          <w:ilvl w:val="0"/>
          <w:numId w:val="2"/>
        </w:numPr>
        <w:spacing w:before="30" w:after="30"/>
      </w:pPr>
      <w:r>
        <w:rPr>
          <w:rFonts w:ascii="Arial" w:cs="Arial" w:eastAsia="Arial" w:hAnsi="Arial"/>
          <w:color w:val="1A1A18"/>
          <w:sz w:val="20"/>
          <w:szCs w:val="20"/>
        </w:rPr>
        <w:t xml:space="preserve">Creates social proof in real time, in the most social context possible.</w:t>
      </w:r>
    </w:p>
    <w:p>
      <w:pPr>
        <w:spacing w:before="200" w:after="60"/>
      </w:pPr>
      <w:r>
        <w:rPr>
          <w:rFonts w:ascii="Arial" w:cs="Arial" w:eastAsia="Arial" w:hAnsi="Arial"/>
          <w:b/>
          <w:bCs/>
          <w:color w:val="1A1A18"/>
          <w:sz w:val="22"/>
          <w:szCs w:val="22"/>
        </w:rPr>
        <w:t xml:space="preserve">Cons</w:t>
      </w:r>
    </w:p>
    <w:p>
      <w:pPr>
        <w:pStyle w:val="ListParagraph"/>
        <w:numPr>
          <w:ilvl w:val="0"/>
          <w:numId w:val="2"/>
        </w:numPr>
        <w:spacing w:before="30" w:after="30"/>
      </w:pPr>
      <w:r>
        <w:rPr>
          <w:rFonts w:ascii="Arial" w:cs="Arial" w:eastAsia="Arial" w:hAnsi="Arial"/>
          <w:color w:val="1A1A18"/>
          <w:sz w:val="20"/>
          <w:szCs w:val="20"/>
        </w:rPr>
        <w:t xml:space="preserve">Requires either a very large restaurant database or very good AI generalisation from cuisine type.</w:t>
      </w:r>
    </w:p>
    <w:p>
      <w:pPr>
        <w:pStyle w:val="ListParagraph"/>
        <w:numPr>
          <w:ilvl w:val="0"/>
          <w:numId w:val="2"/>
        </w:numPr>
        <w:spacing w:before="30" w:after="30"/>
      </w:pPr>
      <w:r>
        <w:rPr>
          <w:rFonts w:ascii="Arial" w:cs="Arial" w:eastAsia="Arial" w:hAnsi="Arial"/>
          <w:color w:val="1A1A18"/>
          <w:sz w:val="20"/>
          <w:szCs w:val="20"/>
        </w:rPr>
        <w:t xml:space="preserve">Hard to deliver reliably across all restaurant types and regions without significant content investment.</w:t>
      </w:r>
    </w:p>
    <w:p>
      <w:pPr>
        <w:spacing w:before="200" w:after="60"/>
      </w:pPr>
      <w:r>
        <w:rPr>
          <w:rFonts w:ascii="Arial" w:cs="Arial" w:eastAsia="Arial" w:hAnsi="Arial"/>
          <w:b/>
          <w:bCs/>
          <w:color w:val="1A1A18"/>
          <w:sz w:val="22"/>
          <w:szCs w:val="22"/>
        </w:rPr>
        <w:t xml:space="preserve">Risks</w:t>
      </w:r>
    </w:p>
    <w:p>
      <w:pPr>
        <w:pStyle w:val="ListParagraph"/>
        <w:numPr>
          <w:ilvl w:val="0"/>
          <w:numId w:val="2"/>
        </w:numPr>
        <w:spacing w:before="30" w:after="30"/>
      </w:pPr>
      <w:r>
        <w:rPr>
          <w:rFonts w:ascii="Arial" w:cs="Arial" w:eastAsia="Arial" w:hAnsi="Arial"/>
          <w:color w:val="1A1A18"/>
          <w:sz w:val="20"/>
          <w:szCs w:val="20"/>
        </w:rPr>
        <w:t xml:space="preserve">Wrong advice at a restaurant — telling someone to eat something containing a restricted ingredient — is a very public failure that could go viral negatively. The AI must err strongly on the side of caution in all ambiguous situations.</w:t>
      </w:r>
    </w:p>
    <w:p>
      <w:pPr>
        <w:spacing w:before="200" w:after="60"/>
      </w:pPr>
      <w:r>
        <w:rPr>
          <w:rFonts w:ascii="Arial" w:cs="Arial" w:eastAsia="Arial" w:hAnsi="Arial"/>
          <w:b/>
          <w:bCs/>
          <w:color w:val="1A1A18"/>
          <w:sz w:val="22"/>
          <w:szCs w:val="22"/>
        </w:rPr>
        <w:t xml:space="preserve">Verdict</w:t>
      </w:r>
    </w:p>
    <w:p>
      <w:pPr>
        <w:spacing w:before="40" w:after="80"/>
      </w:pPr>
      <w:r>
        <w:rPr>
          <w:rFonts w:ascii="Arial" w:cs="Arial" w:eastAsia="Arial" w:hAnsi="Arial"/>
          <w:color w:val="1A1A18"/>
          <w:sz w:val="20"/>
          <w:szCs w:val="20"/>
        </w:rPr>
        <w:t xml:space="preserve">The single highest referral-generating feature on the list. Prioritise this within the AI companion build from the very beginning.</w:t>
      </w:r>
    </w:p>
    <w:p>
      <w:pPr>
        <w:spacing w:before="0" w:after="0"/>
      </w:pPr>
      <w:r>
        <w:t xml:space="preserve"/>
      </w:r>
    </w:p>
    <w:p>
      <w:pPr>
        <w:pStyle w:val="Heading2"/>
        <w:spacing w:before="280" w:after="80"/>
      </w:pPr>
      <w:r>
        <w:rPr>
          <w:rFonts w:ascii="Arial" w:cs="Arial" w:eastAsia="Arial" w:hAnsi="Arial"/>
          <w:b/>
          <w:bCs/>
          <w:color w:val="1E6B5E"/>
          <w:sz w:val="26"/>
          <w:szCs w:val="26"/>
        </w:rPr>
        <w:t xml:space="preserve">6. Tracking system to score compliance and inform check-ins</w:t>
      </w:r>
    </w:p>
    <w:p>
      <w:pPr>
        <w:shd w:fill="E8F5F2" w:val="clear"/>
        <w:spacing w:before="60" w:after="60"/>
      </w:pPr>
      <w:r>
        <w:rPr>
          <w:rFonts w:ascii="Arial" w:cs="Arial" w:eastAsia="Arial" w:hAnsi="Arial"/>
          <w:b/>
          <w:bCs/>
          <w:color w:val="B87A18"/>
          <w:sz w:val="20"/>
          <w:szCs w:val="20"/>
        </w:rPr>
        <w:t xml:space="preserve">    Overall: High — Business Model Engine    </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1E6B5E" w:sz="1"/>
              <w:left w:val="single" w:color="1E6B5E" w:sz="1"/>
              <w:bottom w:val="single" w:color="1E6B5E" w:sz="1"/>
              <w:right w:val="single" w:color="1E6B5E" w:sz="1"/>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Vector</w:t>
            </w:r>
          </w:p>
        </w:tc>
        <w:tc>
          <w:tcPr>
            <w:tcW w:type="dxa" w:w="1200"/>
            <w:tcBorders>
              <w:top w:val="single" w:color="1E6B5E" w:sz="1"/>
              <w:left w:val="single" w:color="1E6B5E" w:sz="1"/>
              <w:bottom w:val="single" w:color="1E6B5E" w:sz="1"/>
              <w:right w:val="single" w:color="1E6B5E" w:sz="1"/>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Score</w:t>
            </w:r>
          </w:p>
        </w:tc>
        <w:tc>
          <w:tcPr>
            <w:tcW w:type="dxa" w:w="5960"/>
            <w:tcBorders>
              <w:top w:val="single" w:color="1E6B5E" w:sz="1"/>
              <w:left w:val="single" w:color="1E6B5E" w:sz="1"/>
              <w:bottom w:val="single" w:color="1E6B5E" w:sz="1"/>
              <w:right w:val="single" w:color="1E6B5E" w:sz="1"/>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Acquisition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B03020"/>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Not a direct acquisition driver.</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Activation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B87A1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Gamification of compliance creates early engagement loops.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Retention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Streaks, scores and progress are the most proven retention mechanics in consumer health apps.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Expansion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Compliance data makes the follow-on test feel clinically necessary — this converts a one-time sale into recurring revenue.</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Referral</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B87A1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Score sharing has referral potential but is secondary to other features.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Behaviour Change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Self-monitoring is strongly evidence-backed, but only if friction is very low.</w:t>
            </w:r>
          </w:p>
        </w:tc>
      </w:tr>
    </w:tbl>
    <w:p>
      <w:pPr>
        <w:spacing w:before="0" w:after="0"/>
      </w:pPr>
      <w:r>
        <w:t xml:space="preserve"/>
      </w:r>
    </w:p>
    <w:p>
      <w:pPr>
        <w:spacing w:before="200" w:after="60"/>
      </w:pPr>
      <w:r>
        <w:rPr>
          <w:rFonts w:ascii="Arial" w:cs="Arial" w:eastAsia="Arial" w:hAnsi="Arial"/>
          <w:b/>
          <w:bCs/>
          <w:color w:val="1A1A18"/>
          <w:sz w:val="22"/>
          <w:szCs w:val="22"/>
        </w:rPr>
        <w:t xml:space="preserve">Pros</w:t>
      </w:r>
    </w:p>
    <w:p>
      <w:pPr>
        <w:pStyle w:val="ListParagraph"/>
        <w:numPr>
          <w:ilvl w:val="0"/>
          <w:numId w:val="2"/>
        </w:numPr>
        <w:spacing w:before="30" w:after="30"/>
      </w:pPr>
      <w:r>
        <w:rPr>
          <w:rFonts w:ascii="Arial" w:cs="Arial" w:eastAsia="Arial" w:hAnsi="Arial"/>
          <w:color w:val="1A1A18"/>
          <w:sz w:val="20"/>
          <w:szCs w:val="20"/>
        </w:rPr>
        <w:t xml:space="preserve">Converts a one-time test purchase into a recurring revenue relationship.</w:t>
      </w:r>
    </w:p>
    <w:p>
      <w:pPr>
        <w:pStyle w:val="ListParagraph"/>
        <w:numPr>
          <w:ilvl w:val="0"/>
          <w:numId w:val="2"/>
        </w:numPr>
        <w:spacing w:before="30" w:after="30"/>
      </w:pPr>
      <w:r>
        <w:rPr>
          <w:rFonts w:ascii="Arial" w:cs="Arial" w:eastAsia="Arial" w:hAnsi="Arial"/>
          <w:color w:val="1A1A18"/>
          <w:sz w:val="20"/>
          <w:szCs w:val="20"/>
        </w:rPr>
        <w:t xml:space="preserve">The compliance score makes the follow-on check-in feel clinically necessary rather than a commercial upsell.</w:t>
      </w:r>
    </w:p>
    <w:p>
      <w:pPr>
        <w:pStyle w:val="ListParagraph"/>
        <w:numPr>
          <w:ilvl w:val="0"/>
          <w:numId w:val="2"/>
        </w:numPr>
        <w:spacing w:before="30" w:after="30"/>
      </w:pPr>
      <w:r>
        <w:rPr>
          <w:rFonts w:ascii="Arial" w:cs="Arial" w:eastAsia="Arial" w:hAnsi="Arial"/>
          <w:color w:val="1A1A18"/>
          <w:sz w:val="20"/>
          <w:szCs w:val="20"/>
        </w:rPr>
        <w:t xml:space="preserve">Gives the clinical team meaningful data: if a patient retests and results are unchanged, knowing compliance score distinguishes dietary failure from protocol failure.</w:t>
      </w:r>
    </w:p>
    <w:p>
      <w:pPr>
        <w:spacing w:before="200" w:after="60"/>
      </w:pPr>
      <w:r>
        <w:rPr>
          <w:rFonts w:ascii="Arial" w:cs="Arial" w:eastAsia="Arial" w:hAnsi="Arial"/>
          <w:b/>
          <w:bCs/>
          <w:color w:val="1A1A18"/>
          <w:sz w:val="22"/>
          <w:szCs w:val="22"/>
        </w:rPr>
        <w:t xml:space="preserve">Cons</w:t>
      </w:r>
    </w:p>
    <w:p>
      <w:pPr>
        <w:pStyle w:val="ListParagraph"/>
        <w:numPr>
          <w:ilvl w:val="0"/>
          <w:numId w:val="2"/>
        </w:numPr>
        <w:spacing w:before="30" w:after="30"/>
      </w:pPr>
      <w:r>
        <w:rPr>
          <w:rFonts w:ascii="Arial" w:cs="Arial" w:eastAsia="Arial" w:hAnsi="Arial"/>
          <w:color w:val="1A1A18"/>
          <w:sz w:val="20"/>
          <w:szCs w:val="20"/>
        </w:rPr>
        <w:t xml:space="preserve">Self-reporting is notoriously unreliable and high-friction.</w:t>
      </w:r>
    </w:p>
    <w:p>
      <w:pPr>
        <w:pStyle w:val="ListParagraph"/>
        <w:numPr>
          <w:ilvl w:val="0"/>
          <w:numId w:val="2"/>
        </w:numPr>
        <w:spacing w:before="30" w:after="30"/>
      </w:pPr>
      <w:r>
        <w:rPr>
          <w:rFonts w:ascii="Arial" w:cs="Arial" w:eastAsia="Arial" w:hAnsi="Arial"/>
          <w:color w:val="1A1A18"/>
          <w:sz w:val="20"/>
          <w:szCs w:val="20"/>
        </w:rPr>
        <w:t xml:space="preserve">Users who are non-compliant tend to stop logging — data becomes biased toward compliant users.</w:t>
      </w:r>
    </w:p>
    <w:p>
      <w:pPr>
        <w:spacing w:before="200" w:after="60"/>
      </w:pPr>
      <w:r>
        <w:rPr>
          <w:rFonts w:ascii="Arial" w:cs="Arial" w:eastAsia="Arial" w:hAnsi="Arial"/>
          <w:b/>
          <w:bCs/>
          <w:color w:val="1A1A18"/>
          <w:sz w:val="22"/>
          <w:szCs w:val="22"/>
        </w:rPr>
        <w:t xml:space="preserve">Risks</w:t>
      </w:r>
    </w:p>
    <w:p>
      <w:pPr>
        <w:pStyle w:val="ListParagraph"/>
        <w:numPr>
          <w:ilvl w:val="0"/>
          <w:numId w:val="2"/>
        </w:numPr>
        <w:spacing w:before="30" w:after="30"/>
      </w:pPr>
      <w:r>
        <w:rPr>
          <w:rFonts w:ascii="Arial" w:cs="Arial" w:eastAsia="Arial" w:hAnsi="Arial"/>
          <w:color w:val="1A1A18"/>
          <w:sz w:val="20"/>
          <w:szCs w:val="20"/>
        </w:rPr>
        <w:t xml:space="preserve">If users feel surveilled or judged, the tracking creates anxiety and disengagement — the opposite of the intended effect. The UX must feel supportive, not punitive. The emotional design of the score is as important as the technical implementation.</w:t>
      </w:r>
    </w:p>
    <w:p>
      <w:pPr>
        <w:spacing w:before="200" w:after="60"/>
      </w:pPr>
      <w:r>
        <w:rPr>
          <w:rFonts w:ascii="Arial" w:cs="Arial" w:eastAsia="Arial" w:hAnsi="Arial"/>
          <w:b/>
          <w:bCs/>
          <w:color w:val="1A1A18"/>
          <w:sz w:val="22"/>
          <w:szCs w:val="22"/>
        </w:rPr>
        <w:t xml:space="preserve">Verdict</w:t>
      </w:r>
    </w:p>
    <w:p>
      <w:pPr>
        <w:spacing w:before="40" w:after="80"/>
      </w:pPr>
      <w:r>
        <w:rPr>
          <w:rFonts w:ascii="Arial" w:cs="Arial" w:eastAsia="Arial" w:hAnsi="Arial"/>
          <w:color w:val="1A1A18"/>
          <w:sz w:val="20"/>
          <w:szCs w:val="20"/>
        </w:rPr>
        <w:t xml:space="preserve">Essential for the business model but easy to get wrong in execution. Design the emotional experience of the compliance score with extreme care.</w:t>
      </w:r>
    </w:p>
    <w:p>
      <w:pPr>
        <w:spacing w:before="0" w:after="0"/>
      </w:pPr>
      <w:r>
        <w:t xml:space="preserve"/>
      </w:r>
    </w:p>
    <w:p>
      <w:pPr>
        <w:pStyle w:val="Heading2"/>
        <w:spacing w:before="280" w:after="80"/>
      </w:pPr>
      <w:r>
        <w:rPr>
          <w:rFonts w:ascii="Arial" w:cs="Arial" w:eastAsia="Arial" w:hAnsi="Arial"/>
          <w:b/>
          <w:bCs/>
          <w:color w:val="1E6B5E"/>
          <w:sz w:val="26"/>
          <w:szCs w:val="26"/>
        </w:rPr>
        <w:t xml:space="preserve">7. Goals in terms of outcomes, not food items</w:t>
      </w:r>
    </w:p>
    <w:p>
      <w:pPr>
        <w:shd w:fill="E8F5F2" w:val="clear"/>
        <w:spacing w:before="60" w:after="60"/>
      </w:pPr>
      <w:r>
        <w:rPr>
          <w:rFonts w:ascii="Arial" w:cs="Arial" w:eastAsia="Arial" w:hAnsi="Arial"/>
          <w:b/>
          <w:bCs/>
          <w:color w:val="1E6B5E"/>
          <w:sz w:val="20"/>
          <w:szCs w:val="20"/>
        </w:rPr>
        <w:t xml:space="preserve">    Overall: Exceptional — Most Strategically Sophisticated    </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1E6B5E" w:sz="1"/>
              <w:left w:val="single" w:color="1E6B5E" w:sz="1"/>
              <w:bottom w:val="single" w:color="1E6B5E" w:sz="1"/>
              <w:right w:val="single" w:color="1E6B5E" w:sz="1"/>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Vector</w:t>
            </w:r>
          </w:p>
        </w:tc>
        <w:tc>
          <w:tcPr>
            <w:tcW w:type="dxa" w:w="1200"/>
            <w:tcBorders>
              <w:top w:val="single" w:color="1E6B5E" w:sz="1"/>
              <w:left w:val="single" w:color="1E6B5E" w:sz="1"/>
              <w:bottom w:val="single" w:color="1E6B5E" w:sz="1"/>
              <w:right w:val="single" w:color="1E6B5E" w:sz="1"/>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Score</w:t>
            </w:r>
          </w:p>
        </w:tc>
        <w:tc>
          <w:tcPr>
            <w:tcW w:type="dxa" w:w="5960"/>
            <w:tcBorders>
              <w:top w:val="single" w:color="1E6B5E" w:sz="1"/>
              <w:left w:val="single" w:color="1E6B5E" w:sz="1"/>
              <w:bottom w:val="single" w:color="1E6B5E" w:sz="1"/>
              <w:right w:val="single" w:color="1E6B5E" w:sz="1"/>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Acquisition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'Reduce your inflammation score' is a more compelling marketing message than 'avoid wheat'.</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Activation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A personal health goal creates immediate emotional investment from day one.</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Retention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Progress toward a meaningful goal is the deepest retention mechanism that exists in any category.</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Expansion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Goal achievement naturally triggers 'what is my next goal?' — creating a perpetual expansion loop.</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Referral</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'I reduced my inflammation by 40%' is a powerful and shareable achievement.</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Behaviour Change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Self-determination theory — the most robust behaviour change framework — places outcome goals at the centre of sustained behaviour change.</w:t>
            </w:r>
          </w:p>
        </w:tc>
      </w:tr>
    </w:tbl>
    <w:p>
      <w:pPr>
        <w:spacing w:before="0" w:after="0"/>
      </w:pPr>
      <w:r>
        <w:t xml:space="preserve"/>
      </w:r>
    </w:p>
    <w:p>
      <w:pPr>
        <w:spacing w:before="200" w:after="60"/>
      </w:pPr>
      <w:r>
        <w:rPr>
          <w:rFonts w:ascii="Arial" w:cs="Arial" w:eastAsia="Arial" w:hAnsi="Arial"/>
          <w:b/>
          <w:bCs/>
          <w:color w:val="1A1A18"/>
          <w:sz w:val="22"/>
          <w:szCs w:val="22"/>
        </w:rPr>
        <w:t xml:space="preserve">Pros</w:t>
      </w:r>
    </w:p>
    <w:p>
      <w:pPr>
        <w:pStyle w:val="ListParagraph"/>
        <w:numPr>
          <w:ilvl w:val="0"/>
          <w:numId w:val="2"/>
        </w:numPr>
        <w:spacing w:before="30" w:after="30"/>
      </w:pPr>
      <w:r>
        <w:rPr>
          <w:rFonts w:ascii="Arial" w:cs="Arial" w:eastAsia="Arial" w:hAnsi="Arial"/>
          <w:color w:val="1A1A18"/>
          <w:sz w:val="20"/>
          <w:szCs w:val="20"/>
        </w:rPr>
        <w:t xml:space="preserve">Reframes the product from 'diet tool' to 'health transformation platform' — a significantly larger and more valuable market position.</w:t>
      </w:r>
    </w:p>
    <w:p>
      <w:pPr>
        <w:pStyle w:val="ListParagraph"/>
        <w:numPr>
          <w:ilvl w:val="0"/>
          <w:numId w:val="2"/>
        </w:numPr>
        <w:spacing w:before="30" w:after="30"/>
      </w:pPr>
      <w:r>
        <w:rPr>
          <w:rFonts w:ascii="Arial" w:cs="Arial" w:eastAsia="Arial" w:hAnsi="Arial"/>
          <w:color w:val="1A1A18"/>
          <w:sz w:val="20"/>
          <w:szCs w:val="20"/>
        </w:rPr>
        <w:t xml:space="preserve">Outcome goals accommodate individual variation, making the product feel more personalised even with the same underlying logic.</w:t>
      </w:r>
    </w:p>
    <w:p>
      <w:pPr>
        <w:pStyle w:val="ListParagraph"/>
        <w:numPr>
          <w:ilvl w:val="0"/>
          <w:numId w:val="2"/>
        </w:numPr>
        <w:spacing w:before="30" w:after="30"/>
      </w:pPr>
      <w:r>
        <w:rPr>
          <w:rFonts w:ascii="Arial" w:cs="Arial" w:eastAsia="Arial" w:hAnsi="Arial"/>
          <w:color w:val="1A1A18"/>
          <w:sz w:val="20"/>
          <w:szCs w:val="20"/>
        </w:rPr>
        <w:t xml:space="preserve">Goals create intrinsic motivation; rules create resentment. This is the difference between a product people love and one they abandon.</w:t>
      </w:r>
    </w:p>
    <w:p>
      <w:pPr>
        <w:spacing w:before="200" w:after="60"/>
      </w:pPr>
      <w:r>
        <w:rPr>
          <w:rFonts w:ascii="Arial" w:cs="Arial" w:eastAsia="Arial" w:hAnsi="Arial"/>
          <w:b/>
          <w:bCs/>
          <w:color w:val="1A1A18"/>
          <w:sz w:val="22"/>
          <w:szCs w:val="22"/>
        </w:rPr>
        <w:t xml:space="preserve">Cons</w:t>
      </w:r>
    </w:p>
    <w:p>
      <w:pPr>
        <w:pStyle w:val="ListParagraph"/>
        <w:numPr>
          <w:ilvl w:val="0"/>
          <w:numId w:val="2"/>
        </w:numPr>
        <w:spacing w:before="30" w:after="30"/>
      </w:pPr>
      <w:r>
        <w:rPr>
          <w:rFonts w:ascii="Arial" w:cs="Arial" w:eastAsia="Arial" w:hAnsi="Arial"/>
          <w:color w:val="1A1A18"/>
          <w:sz w:val="20"/>
          <w:szCs w:val="20"/>
        </w:rPr>
        <w:t xml:space="preserve">Requires the ability to actually measure progress toward outcome goals — which means either retesting (natural upsell) or validated proxy metrics.</w:t>
      </w:r>
    </w:p>
    <w:p>
      <w:pPr>
        <w:pStyle w:val="ListParagraph"/>
        <w:numPr>
          <w:ilvl w:val="0"/>
          <w:numId w:val="2"/>
        </w:numPr>
        <w:spacing w:before="30" w:after="30"/>
      </w:pPr>
      <w:r>
        <w:rPr>
          <w:rFonts w:ascii="Arial" w:cs="Arial" w:eastAsia="Arial" w:hAnsi="Arial"/>
          <w:color w:val="1A1A18"/>
          <w:sz w:val="20"/>
          <w:szCs w:val="20"/>
        </w:rPr>
        <w:t xml:space="preserve">More complex to design and communicate than simple food rules.</w:t>
      </w:r>
    </w:p>
    <w:p>
      <w:pPr>
        <w:spacing w:before="200" w:after="60"/>
      </w:pPr>
      <w:r>
        <w:rPr>
          <w:rFonts w:ascii="Arial" w:cs="Arial" w:eastAsia="Arial" w:hAnsi="Arial"/>
          <w:b/>
          <w:bCs/>
          <w:color w:val="1A1A18"/>
          <w:sz w:val="22"/>
          <w:szCs w:val="22"/>
        </w:rPr>
        <w:t xml:space="preserve">Risks</w:t>
      </w:r>
    </w:p>
    <w:p>
      <w:pPr>
        <w:pStyle w:val="ListParagraph"/>
        <w:numPr>
          <w:ilvl w:val="0"/>
          <w:numId w:val="2"/>
        </w:numPr>
        <w:spacing w:before="30" w:after="30"/>
      </w:pPr>
      <w:r>
        <w:rPr>
          <w:rFonts w:ascii="Arial" w:cs="Arial" w:eastAsia="Arial" w:hAnsi="Arial"/>
          <w:color w:val="1A1A18"/>
          <w:sz w:val="20"/>
          <w:szCs w:val="20"/>
        </w:rPr>
        <w:t xml:space="preserve">If a patient follows the programme perfectly and their outcome does not improve, the goal framework amplifies disappointment rather than managing it. A clear narrative for non-responders is both a product design and scientific credibility challenge that must be pre-designed.</w:t>
      </w:r>
    </w:p>
    <w:p>
      <w:pPr>
        <w:spacing w:before="200" w:after="60"/>
      </w:pPr>
      <w:r>
        <w:rPr>
          <w:rFonts w:ascii="Arial" w:cs="Arial" w:eastAsia="Arial" w:hAnsi="Arial"/>
          <w:b/>
          <w:bCs/>
          <w:color w:val="1A1A18"/>
          <w:sz w:val="22"/>
          <w:szCs w:val="22"/>
        </w:rPr>
        <w:t xml:space="preserve">Verdict</w:t>
      </w:r>
    </w:p>
    <w:p>
      <w:pPr>
        <w:spacing w:before="40" w:after="80"/>
      </w:pPr>
      <w:r>
        <w:rPr>
          <w:rFonts w:ascii="Arial" w:cs="Arial" w:eastAsia="Arial" w:hAnsi="Arial"/>
          <w:color w:val="1A1A18"/>
          <w:sz w:val="20"/>
          <w:szCs w:val="20"/>
        </w:rPr>
        <w:t xml:space="preserve">This is the most strategically sophisticated statement on the list. It changes the category the product competes in. Pursue this actively — it is the difference between a compliance tool and a health platform.</w:t>
      </w:r>
    </w:p>
    <w:p>
      <w:pPr>
        <w:spacing w:before="0" w:after="0"/>
      </w:pPr>
      <w:r>
        <w:t xml:space="preserve"/>
      </w:r>
    </w:p>
    <w:p>
      <w:pPr>
        <w:pStyle w:val="Heading2"/>
        <w:spacing w:before="280" w:after="80"/>
      </w:pPr>
      <w:r>
        <w:rPr>
          <w:rFonts w:ascii="Arial" w:cs="Arial" w:eastAsia="Arial" w:hAnsi="Arial"/>
          <w:b/>
          <w:bCs/>
          <w:color w:val="1E6B5E"/>
          <w:sz w:val="26"/>
          <w:szCs w:val="26"/>
        </w:rPr>
        <w:t xml:space="preserve">8. More clear, grounded risks to compel compliance</w:t>
      </w:r>
    </w:p>
    <w:p>
      <w:pPr>
        <w:shd w:fill="E8F5F2" w:val="clear"/>
        <w:spacing w:before="60" w:after="60"/>
      </w:pPr>
      <w:r>
        <w:rPr>
          <w:rFonts w:ascii="Arial" w:cs="Arial" w:eastAsia="Arial" w:hAnsi="Arial"/>
          <w:b/>
          <w:bCs/>
          <w:color w:val="B87A18"/>
          <w:sz w:val="20"/>
          <w:szCs w:val="20"/>
        </w:rPr>
        <w:t xml:space="preserve">    Overall: Moderate — Use Precisely    </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1E6B5E" w:sz="1"/>
              <w:left w:val="single" w:color="1E6B5E" w:sz="1"/>
              <w:bottom w:val="single" w:color="1E6B5E" w:sz="1"/>
              <w:right w:val="single" w:color="1E6B5E" w:sz="1"/>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Vector</w:t>
            </w:r>
          </w:p>
        </w:tc>
        <w:tc>
          <w:tcPr>
            <w:tcW w:type="dxa" w:w="1200"/>
            <w:tcBorders>
              <w:top w:val="single" w:color="1E6B5E" w:sz="1"/>
              <w:left w:val="single" w:color="1E6B5E" w:sz="1"/>
              <w:bottom w:val="single" w:color="1E6B5E" w:sz="1"/>
              <w:right w:val="single" w:color="1E6B5E" w:sz="1"/>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Score</w:t>
            </w:r>
          </w:p>
        </w:tc>
        <w:tc>
          <w:tcPr>
            <w:tcW w:type="dxa" w:w="5960"/>
            <w:tcBorders>
              <w:top w:val="single" w:color="1E6B5E" w:sz="1"/>
              <w:left w:val="single" w:color="1E6B5E" w:sz="1"/>
              <w:bottom w:val="single" w:color="1E6B5E" w:sz="1"/>
              <w:right w:val="single" w:color="1E6B5E" w:sz="1"/>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Acquisition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Fear-based marketing works in health — but has a ceiling and backlash risk.</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Activation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Personalised risk communication creates urgency that drives immediate first action.</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Retention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B87A1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Fear drives initial engagement but fades — must be balanced with positive progress communication.</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Expansion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B87A1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'Your risk has reduced' is a compelling reason to retest, but weaker than goal achievement.</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Referral</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B03020"/>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People do not typically share fear-based content with their social network.</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Behaviour Change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Personalised risk (vs generic risk) is strongly evidence-backed for driving initial behaviour change.</w:t>
            </w:r>
          </w:p>
        </w:tc>
      </w:tr>
    </w:tbl>
    <w:p>
      <w:pPr>
        <w:spacing w:before="0" w:after="0"/>
      </w:pPr>
      <w:r>
        <w:t xml:space="preserve"/>
      </w:r>
    </w:p>
    <w:p>
      <w:pPr>
        <w:spacing w:before="200" w:after="60"/>
      </w:pPr>
      <w:r>
        <w:rPr>
          <w:rFonts w:ascii="Arial" w:cs="Arial" w:eastAsia="Arial" w:hAnsi="Arial"/>
          <w:b/>
          <w:bCs/>
          <w:color w:val="1A1A18"/>
          <w:sz w:val="22"/>
          <w:szCs w:val="22"/>
        </w:rPr>
        <w:t xml:space="preserve">Pros</w:t>
      </w:r>
    </w:p>
    <w:p>
      <w:pPr>
        <w:pStyle w:val="ListParagraph"/>
        <w:numPr>
          <w:ilvl w:val="0"/>
          <w:numId w:val="2"/>
        </w:numPr>
        <w:spacing w:before="30" w:after="30"/>
      </w:pPr>
      <w:r>
        <w:rPr>
          <w:rFonts w:ascii="Arial" w:cs="Arial" w:eastAsia="Arial" w:hAnsi="Arial"/>
          <w:color w:val="1A1A18"/>
          <w:sz w:val="20"/>
          <w:szCs w:val="20"/>
        </w:rPr>
        <w:t xml:space="preserve">Personalised risk communication — your PNPLA3 variant, your specific GA level — is far more motivating than generic health warnings.</w:t>
      </w:r>
    </w:p>
    <w:p>
      <w:pPr>
        <w:pStyle w:val="ListParagraph"/>
        <w:numPr>
          <w:ilvl w:val="0"/>
          <w:numId w:val="2"/>
        </w:numPr>
        <w:spacing w:before="30" w:after="30"/>
      </w:pPr>
      <w:r>
        <w:rPr>
          <w:rFonts w:ascii="Arial" w:cs="Arial" w:eastAsia="Arial" w:hAnsi="Arial"/>
          <w:color w:val="1A1A18"/>
          <w:sz w:val="20"/>
          <w:szCs w:val="20"/>
        </w:rPr>
        <w:t xml:space="preserve">Well-established in health communication research as an effective activation lever.</w:t>
      </w:r>
    </w:p>
    <w:p>
      <w:pPr>
        <w:pStyle w:val="ListParagraph"/>
        <w:numPr>
          <w:ilvl w:val="0"/>
          <w:numId w:val="2"/>
        </w:numPr>
        <w:spacing w:before="30" w:after="30"/>
      </w:pPr>
      <w:r>
        <w:rPr>
          <w:rFonts w:ascii="Arial" w:cs="Arial" w:eastAsia="Arial" w:hAnsi="Arial"/>
          <w:color w:val="1A1A18"/>
          <w:sz w:val="20"/>
          <w:szCs w:val="20"/>
        </w:rPr>
        <w:t xml:space="preserve">The PNPLA3 section of the current report is the correct model — that level of specificity should be applied consistently.</w:t>
      </w:r>
    </w:p>
    <w:p>
      <w:pPr>
        <w:spacing w:before="200" w:after="60"/>
      </w:pPr>
      <w:r>
        <w:rPr>
          <w:rFonts w:ascii="Arial" w:cs="Arial" w:eastAsia="Arial" w:hAnsi="Arial"/>
          <w:b/>
          <w:bCs/>
          <w:color w:val="1A1A18"/>
          <w:sz w:val="22"/>
          <w:szCs w:val="22"/>
        </w:rPr>
        <w:t xml:space="preserve">Cons</w:t>
      </w:r>
    </w:p>
    <w:p>
      <w:pPr>
        <w:pStyle w:val="ListParagraph"/>
        <w:numPr>
          <w:ilvl w:val="0"/>
          <w:numId w:val="2"/>
        </w:numPr>
        <w:spacing w:before="30" w:after="30"/>
      </w:pPr>
      <w:r>
        <w:rPr>
          <w:rFonts w:ascii="Arial" w:cs="Arial" w:eastAsia="Arial" w:hAnsi="Arial"/>
          <w:color w:val="1A1A18"/>
          <w:sz w:val="20"/>
          <w:szCs w:val="20"/>
        </w:rPr>
        <w:t xml:space="preserve">Fear is a powerful but short-lived motivator. It drives first action but does not sustain long-term compliance.</w:t>
      </w:r>
    </w:p>
    <w:p>
      <w:pPr>
        <w:pStyle w:val="ListParagraph"/>
        <w:numPr>
          <w:ilvl w:val="0"/>
          <w:numId w:val="2"/>
        </w:numPr>
        <w:spacing w:before="30" w:after="30"/>
      </w:pPr>
      <w:r>
        <w:rPr>
          <w:rFonts w:ascii="Arial" w:cs="Arial" w:eastAsia="Arial" w:hAnsi="Arial"/>
          <w:color w:val="1A1A18"/>
          <w:sz w:val="20"/>
          <w:szCs w:val="20"/>
        </w:rPr>
        <w:t xml:space="preserve">Overuse creates anxiety, distrust and eventual disengagement — particularly damaging for a subscription business that depends on long-term retention.</w:t>
      </w:r>
    </w:p>
    <w:p>
      <w:pPr>
        <w:spacing w:before="200" w:after="60"/>
      </w:pPr>
      <w:r>
        <w:rPr>
          <w:rFonts w:ascii="Arial" w:cs="Arial" w:eastAsia="Arial" w:hAnsi="Arial"/>
          <w:b/>
          <w:bCs/>
          <w:color w:val="1A1A18"/>
          <w:sz w:val="22"/>
          <w:szCs w:val="22"/>
        </w:rPr>
        <w:t xml:space="preserve">Risks</w:t>
      </w:r>
    </w:p>
    <w:p>
      <w:pPr>
        <w:pStyle w:val="ListParagraph"/>
        <w:numPr>
          <w:ilvl w:val="0"/>
          <w:numId w:val="2"/>
        </w:numPr>
        <w:spacing w:before="30" w:after="30"/>
      </w:pPr>
      <w:r>
        <w:rPr>
          <w:rFonts w:ascii="Arial" w:cs="Arial" w:eastAsia="Arial" w:hAnsi="Arial"/>
          <w:color w:val="1A1A18"/>
          <w:sz w:val="20"/>
          <w:szCs w:val="20"/>
        </w:rPr>
        <w:t xml:space="preserve">In a medical context, overstating personalised risk carries genuine ethical and legal exposure. If someone becomes very anxious and attributes a health event to stress from the report, that is a liability scenario. The line between motivating and alarming requires very careful calibration and legal review.</w:t>
      </w:r>
    </w:p>
    <w:p>
      <w:pPr>
        <w:spacing w:before="200" w:after="60"/>
      </w:pPr>
      <w:r>
        <w:rPr>
          <w:rFonts w:ascii="Arial" w:cs="Arial" w:eastAsia="Arial" w:hAnsi="Arial"/>
          <w:b/>
          <w:bCs/>
          <w:color w:val="1A1A18"/>
          <w:sz w:val="22"/>
          <w:szCs w:val="22"/>
        </w:rPr>
        <w:t xml:space="preserve">Verdict</w:t>
      </w:r>
    </w:p>
    <w:p>
      <w:pPr>
        <w:spacing w:before="40" w:after="80"/>
      </w:pPr>
      <w:r>
        <w:rPr>
          <w:rFonts w:ascii="Arial" w:cs="Arial" w:eastAsia="Arial" w:hAnsi="Arial"/>
          <w:color w:val="1A1A18"/>
          <w:sz w:val="20"/>
          <w:szCs w:val="20"/>
        </w:rPr>
        <w:t xml:space="preserve">Useful as an activation lever but dangerous as a retention strategy. Use it precisely and sparingly. The PNPLA3 model — specific, grounded, actionable — is the right template. Apply precision, not amplification.</w:t>
      </w:r>
    </w:p>
    <w:p>
      <w:pPr>
        <w:spacing w:before="0" w:after="0"/>
      </w:pPr>
      <w:r>
        <w:t xml:space="preserve"/>
      </w:r>
    </w:p>
    <w:p>
      <w:pPr>
        <w:pStyle w:val="Heading2"/>
        <w:spacing w:before="280" w:after="80"/>
      </w:pPr>
      <w:r>
        <w:rPr>
          <w:rFonts w:ascii="Arial" w:cs="Arial" w:eastAsia="Arial" w:hAnsi="Arial"/>
          <w:b/>
          <w:bCs/>
          <w:color w:val="1E6B5E"/>
          <w:sz w:val="26"/>
          <w:szCs w:val="26"/>
        </w:rPr>
        <w:t xml:space="preserve">9. Benchmarking with population for context and progress</w:t>
      </w:r>
    </w:p>
    <w:p>
      <w:pPr>
        <w:shd w:fill="E8F5F2" w:val="clear"/>
        <w:spacing w:before="60" w:after="60"/>
      </w:pPr>
      <w:r>
        <w:rPr>
          <w:rFonts w:ascii="Arial" w:cs="Arial" w:eastAsia="Arial" w:hAnsi="Arial"/>
          <w:b/>
          <w:bCs/>
          <w:color w:val="B87A18"/>
          <w:sz w:val="20"/>
          <w:szCs w:val="20"/>
        </w:rPr>
        <w:t xml:space="preserve">    Overall: High — With Prerequisites    </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1E6B5E" w:sz="1"/>
              <w:left w:val="single" w:color="1E6B5E" w:sz="1"/>
              <w:bottom w:val="single" w:color="1E6B5E" w:sz="1"/>
              <w:right w:val="single" w:color="1E6B5E" w:sz="1"/>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Vector</w:t>
            </w:r>
          </w:p>
        </w:tc>
        <w:tc>
          <w:tcPr>
            <w:tcW w:type="dxa" w:w="1200"/>
            <w:tcBorders>
              <w:top w:val="single" w:color="1E6B5E" w:sz="1"/>
              <w:left w:val="single" w:color="1E6B5E" w:sz="1"/>
              <w:bottom w:val="single" w:color="1E6B5E" w:sz="1"/>
              <w:right w:val="single" w:color="1E6B5E" w:sz="1"/>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Score</w:t>
            </w:r>
          </w:p>
        </w:tc>
        <w:tc>
          <w:tcPr>
            <w:tcW w:type="dxa" w:w="5960"/>
            <w:tcBorders>
              <w:top w:val="single" w:color="1E6B5E" w:sz="1"/>
              <w:left w:val="single" w:color="1E6B5E" w:sz="1"/>
              <w:bottom w:val="single" w:color="1E6B5E" w:sz="1"/>
              <w:right w:val="single" w:color="1E6B5E" w:sz="1"/>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Acquisition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'See how you compare' is a proven acquisition hook used by Fitbit, Strava, and every successful health app.</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Activation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Immediately contextualises otherwise abstract numbers — '7.14% GA' means nothing; 'top 25% of risk profiles' means everything.</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Retention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Progress benchmarks create return visits to check 'have I moved?'</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Expansion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'You have moved from bottom 20% to top 40% — retest to confirm your progress.'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Referral</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Achievement sharing ('I am now in the top 30%') is highly shareable social content.</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Behaviour Change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Social comparison is one of the most powerful behaviour change mechanisms in the research literature.</w:t>
            </w:r>
          </w:p>
        </w:tc>
      </w:tr>
    </w:tbl>
    <w:p>
      <w:pPr>
        <w:spacing w:before="0" w:after="0"/>
      </w:pPr>
      <w:r>
        <w:t xml:space="preserve"/>
      </w:r>
    </w:p>
    <w:p>
      <w:pPr>
        <w:spacing w:before="200" w:after="60"/>
      </w:pPr>
      <w:r>
        <w:rPr>
          <w:rFonts w:ascii="Arial" w:cs="Arial" w:eastAsia="Arial" w:hAnsi="Arial"/>
          <w:b/>
          <w:bCs/>
          <w:color w:val="1A1A18"/>
          <w:sz w:val="22"/>
          <w:szCs w:val="22"/>
        </w:rPr>
        <w:t xml:space="preserve">Pros</w:t>
      </w:r>
    </w:p>
    <w:p>
      <w:pPr>
        <w:pStyle w:val="ListParagraph"/>
        <w:numPr>
          <w:ilvl w:val="0"/>
          <w:numId w:val="2"/>
        </w:numPr>
        <w:spacing w:before="30" w:after="30"/>
      </w:pPr>
      <w:r>
        <w:rPr>
          <w:rFonts w:ascii="Arial" w:cs="Arial" w:eastAsia="Arial" w:hAnsi="Arial"/>
          <w:color w:val="1A1A18"/>
          <w:sz w:val="20"/>
          <w:szCs w:val="20"/>
        </w:rPr>
        <w:t xml:space="preserve">Contextualises every metric instantly and makes abstract numbers emotionally meaningful.</w:t>
      </w:r>
    </w:p>
    <w:p>
      <w:pPr>
        <w:pStyle w:val="ListParagraph"/>
        <w:numPr>
          <w:ilvl w:val="0"/>
          <w:numId w:val="2"/>
        </w:numPr>
        <w:spacing w:before="30" w:after="30"/>
      </w:pPr>
      <w:r>
        <w:rPr>
          <w:rFonts w:ascii="Arial" w:cs="Arial" w:eastAsia="Arial" w:hAnsi="Arial"/>
          <w:color w:val="1A1A18"/>
          <w:sz w:val="20"/>
          <w:szCs w:val="20"/>
        </w:rPr>
        <w:t xml:space="preserve">Creates a natural progress narrative as numbers improve over time.</w:t>
      </w:r>
    </w:p>
    <w:p>
      <w:pPr>
        <w:pStyle w:val="ListParagraph"/>
        <w:numPr>
          <w:ilvl w:val="0"/>
          <w:numId w:val="2"/>
        </w:numPr>
        <w:spacing w:before="30" w:after="30"/>
      </w:pPr>
      <w:r>
        <w:rPr>
          <w:rFonts w:ascii="Arial" w:cs="Arial" w:eastAsia="Arial" w:hAnsi="Arial"/>
          <w:color w:val="1A1A18"/>
          <w:sz w:val="20"/>
          <w:szCs w:val="20"/>
        </w:rPr>
        <w:t xml:space="preserve">Maps perfectly onto GEK Lab's existing measurement framework.</w:t>
      </w:r>
    </w:p>
    <w:p>
      <w:pPr>
        <w:spacing w:before="200" w:after="60"/>
      </w:pPr>
      <w:r>
        <w:rPr>
          <w:rFonts w:ascii="Arial" w:cs="Arial" w:eastAsia="Arial" w:hAnsi="Arial"/>
          <w:b/>
          <w:bCs/>
          <w:color w:val="1A1A18"/>
          <w:sz w:val="22"/>
          <w:szCs w:val="22"/>
        </w:rPr>
        <w:t xml:space="preserve">Cons</w:t>
      </w:r>
    </w:p>
    <w:p>
      <w:pPr>
        <w:pStyle w:val="ListParagraph"/>
        <w:numPr>
          <w:ilvl w:val="0"/>
          <w:numId w:val="2"/>
        </w:numPr>
        <w:spacing w:before="30" w:after="30"/>
      </w:pPr>
      <w:r>
        <w:rPr>
          <w:rFonts w:ascii="Arial" w:cs="Arial" w:eastAsia="Arial" w:hAnsi="Arial"/>
          <w:color w:val="1A1A18"/>
          <w:sz w:val="20"/>
          <w:szCs w:val="20"/>
        </w:rPr>
        <w:t xml:space="preserve">GEK Lab's proprietary reference ranges must be scientifically defensible before public benchmarking.</w:t>
      </w:r>
    </w:p>
    <w:p>
      <w:pPr>
        <w:pStyle w:val="ListParagraph"/>
        <w:numPr>
          <w:ilvl w:val="0"/>
          <w:numId w:val="2"/>
        </w:numPr>
        <w:spacing w:before="30" w:after="30"/>
      </w:pPr>
      <w:r>
        <w:rPr>
          <w:rFonts w:ascii="Arial" w:cs="Arial" w:eastAsia="Arial" w:hAnsi="Arial"/>
          <w:color w:val="1A1A18"/>
          <w:sz w:val="20"/>
          <w:szCs w:val="20"/>
        </w:rPr>
        <w:t xml:space="preserve">Benchmarking can backfire for users already performing well — requires careful framing around trajectory not just position.</w:t>
      </w:r>
    </w:p>
    <w:p>
      <w:pPr>
        <w:spacing w:before="200" w:after="60"/>
      </w:pPr>
      <w:r>
        <w:rPr>
          <w:rFonts w:ascii="Arial" w:cs="Arial" w:eastAsia="Arial" w:hAnsi="Arial"/>
          <w:b/>
          <w:bCs/>
          <w:color w:val="1A1A18"/>
          <w:sz w:val="22"/>
          <w:szCs w:val="22"/>
        </w:rPr>
        <w:t xml:space="preserve">Risks</w:t>
      </w:r>
    </w:p>
    <w:p>
      <w:pPr>
        <w:pStyle w:val="ListParagraph"/>
        <w:numPr>
          <w:ilvl w:val="0"/>
          <w:numId w:val="2"/>
        </w:numPr>
        <w:spacing w:before="30" w:after="30"/>
      </w:pPr>
      <w:r>
        <w:rPr>
          <w:rFonts w:ascii="Arial" w:cs="Arial" w:eastAsia="Arial" w:hAnsi="Arial"/>
          <w:color w:val="1A1A18"/>
          <w:sz w:val="20"/>
          <w:szCs w:val="20"/>
        </w:rPr>
        <w:t xml:space="preserve">A journalist or doctor questioning why 'normal' GA is defined so differently from standard clinical ranges could cause significant reputational damage if the methodology is not transparently documented. Validate the reference ranges as a prerequisite to implementing benchmarking.</w:t>
      </w:r>
    </w:p>
    <w:p>
      <w:pPr>
        <w:spacing w:before="200" w:after="60"/>
      </w:pPr>
      <w:r>
        <w:rPr>
          <w:rFonts w:ascii="Arial" w:cs="Arial" w:eastAsia="Arial" w:hAnsi="Arial"/>
          <w:b/>
          <w:bCs/>
          <w:color w:val="1A1A18"/>
          <w:sz w:val="22"/>
          <w:szCs w:val="22"/>
        </w:rPr>
        <w:t xml:space="preserve">Verdict</w:t>
      </w:r>
    </w:p>
    <w:p>
      <w:pPr>
        <w:spacing w:before="40" w:after="80"/>
      </w:pPr>
      <w:r>
        <w:rPr>
          <w:rFonts w:ascii="Arial" w:cs="Arial" w:eastAsia="Arial" w:hAnsi="Arial"/>
          <w:color w:val="1A1A18"/>
          <w:sz w:val="20"/>
          <w:szCs w:val="20"/>
        </w:rPr>
        <w:t xml:space="preserve">High impact but with a non-negotiable prerequisite: validate and publish the methodology behind the reference ranges first. Without that foundation, benchmarking amplifies the scientific credibility risk.</w:t>
      </w:r>
    </w:p>
    <w:p>
      <w:pPr>
        <w:spacing w:before="0" w:after="0"/>
      </w:pPr>
      <w:r>
        <w:t xml:space="preserve"/>
      </w:r>
    </w:p>
    <w:p>
      <w:pPr>
        <w:pStyle w:val="Heading2"/>
        <w:spacing w:before="280" w:after="80"/>
      </w:pPr>
      <w:r>
        <w:rPr>
          <w:rFonts w:ascii="Arial" w:cs="Arial" w:eastAsia="Arial" w:hAnsi="Arial"/>
          <w:b/>
          <w:bCs/>
          <w:color w:val="1E6B5E"/>
          <w:sz w:val="26"/>
          <w:szCs w:val="26"/>
        </w:rPr>
        <w:t xml:space="preserve">10. Companion that translates recommendations into recipes</w:t>
      </w:r>
    </w:p>
    <w:p>
      <w:pPr>
        <w:shd w:fill="E8F5F2" w:val="clear"/>
        <w:spacing w:before="60" w:after="60"/>
      </w:pPr>
      <w:r>
        <w:rPr>
          <w:rFonts w:ascii="Arial" w:cs="Arial" w:eastAsia="Arial" w:hAnsi="Arial"/>
          <w:b/>
          <w:bCs/>
          <w:color w:val="1E6B5E"/>
          <w:sz w:val="20"/>
          <w:szCs w:val="20"/>
        </w:rPr>
        <w:t xml:space="preserve">    Overall: Exceptional — Highest Acquisition + Referral Score    </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1E6B5E" w:sz="1"/>
              <w:left w:val="single" w:color="1E6B5E" w:sz="1"/>
              <w:bottom w:val="single" w:color="1E6B5E" w:sz="1"/>
              <w:right w:val="single" w:color="1E6B5E" w:sz="1"/>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Vector</w:t>
            </w:r>
          </w:p>
        </w:tc>
        <w:tc>
          <w:tcPr>
            <w:tcW w:type="dxa" w:w="1200"/>
            <w:tcBorders>
              <w:top w:val="single" w:color="1E6B5E" w:sz="1"/>
              <w:left w:val="single" w:color="1E6B5E" w:sz="1"/>
              <w:bottom w:val="single" w:color="1E6B5E" w:sz="1"/>
              <w:right w:val="single" w:color="1E6B5E" w:sz="1"/>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Score</w:t>
            </w:r>
          </w:p>
        </w:tc>
        <w:tc>
          <w:tcPr>
            <w:tcW w:type="dxa" w:w="5960"/>
            <w:tcBorders>
              <w:top w:val="single" w:color="1E6B5E" w:sz="1"/>
              <w:left w:val="single" w:color="1E6B5E" w:sz="1"/>
              <w:bottom w:val="single" w:color="1E6B5E" w:sz="1"/>
              <w:right w:val="single" w:color="1E6B5E" w:sz="1"/>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Acquisition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Recipe content drives the highest SEO traffic and social sharing of any content category in food and health.</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Activation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'Here is what to cook tonight' is the most immediate and concrete value delivery possible.</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Retention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Daily recipe suggestions create daily return — the highest retention mechanic on this entire list.</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Expansion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Premium recipe tiers, chef collaborations, meal kit partnerships — multiple expansion paths.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Referral</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Recipes are the most shared content on the internet. This is the organic growth engine.</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8"/>
                <w:sz w:val="18"/>
                <w:szCs w:val="18"/>
              </w:rPr>
              <w:t xml:space="preserve">Behaviour Change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7048"/>
                <w:sz w:val="18"/>
                <w:szCs w:val="18"/>
              </w:rPr>
              <w:t xml:space="preserv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8"/>
                <w:sz w:val="18"/>
                <w:szCs w:val="18"/>
              </w:rPr>
              <w:t xml:space="preserve">Removes the last barrier between intention and action — 'I know what to eat but don't know how to cook it compliantly.'</w:t>
            </w:r>
          </w:p>
        </w:tc>
      </w:tr>
    </w:tbl>
    <w:p>
      <w:pPr>
        <w:spacing w:before="0" w:after="0"/>
      </w:pPr>
      <w:r>
        <w:t xml:space="preserve"/>
      </w:r>
    </w:p>
    <w:p>
      <w:pPr>
        <w:spacing w:before="200" w:after="60"/>
      </w:pPr>
      <w:r>
        <w:rPr>
          <w:rFonts w:ascii="Arial" w:cs="Arial" w:eastAsia="Arial" w:hAnsi="Arial"/>
          <w:b/>
          <w:bCs/>
          <w:color w:val="1A1A18"/>
          <w:sz w:val="22"/>
          <w:szCs w:val="22"/>
        </w:rPr>
        <w:t xml:space="preserve">Pros</w:t>
      </w:r>
    </w:p>
    <w:p>
      <w:pPr>
        <w:pStyle w:val="ListParagraph"/>
        <w:numPr>
          <w:ilvl w:val="0"/>
          <w:numId w:val="2"/>
        </w:numPr>
        <w:spacing w:before="30" w:after="30"/>
      </w:pPr>
      <w:r>
        <w:rPr>
          <w:rFonts w:ascii="Arial" w:cs="Arial" w:eastAsia="Arial" w:hAnsi="Arial"/>
          <w:color w:val="1A1A18"/>
          <w:sz w:val="20"/>
          <w:szCs w:val="20"/>
        </w:rPr>
        <w:t xml:space="preserve">Recipe content drives SEO traffic, social sharing, and organic growth in a way no other feature does.</w:t>
      </w:r>
    </w:p>
    <w:p>
      <w:pPr>
        <w:pStyle w:val="ListParagraph"/>
        <w:numPr>
          <w:ilvl w:val="0"/>
          <w:numId w:val="2"/>
        </w:numPr>
        <w:spacing w:before="30" w:after="30"/>
      </w:pPr>
      <w:r>
        <w:rPr>
          <w:rFonts w:ascii="Arial" w:cs="Arial" w:eastAsia="Arial" w:hAnsi="Arial"/>
          <w:color w:val="1A1A18"/>
          <w:sz w:val="20"/>
          <w:szCs w:val="20"/>
        </w:rPr>
        <w:t xml:space="preserve">A library of 500 compliant Italian recipes becomes more valuable over time and is extremely hard for competitors to replicate quickly.</w:t>
      </w:r>
    </w:p>
    <w:p>
      <w:pPr>
        <w:pStyle w:val="ListParagraph"/>
        <w:numPr>
          <w:ilvl w:val="0"/>
          <w:numId w:val="2"/>
        </w:numPr>
        <w:spacing w:before="30" w:after="30"/>
      </w:pPr>
      <w:r>
        <w:rPr>
          <w:rFonts w:ascii="Arial" w:cs="Arial" w:eastAsia="Arial" w:hAnsi="Arial"/>
          <w:color w:val="1A1A18"/>
          <w:sz w:val="20"/>
          <w:szCs w:val="20"/>
        </w:rPr>
        <w:t xml:space="preserve">Recipes are the most naturally viral content format on the internet — inherently shareable across all platforms.</w:t>
      </w:r>
    </w:p>
    <w:p>
      <w:pPr>
        <w:spacing w:before="200" w:after="60"/>
      </w:pPr>
      <w:r>
        <w:rPr>
          <w:rFonts w:ascii="Arial" w:cs="Arial" w:eastAsia="Arial" w:hAnsi="Arial"/>
          <w:b/>
          <w:bCs/>
          <w:color w:val="1A1A18"/>
          <w:sz w:val="22"/>
          <w:szCs w:val="22"/>
        </w:rPr>
        <w:t xml:space="preserve">Cons</w:t>
      </w:r>
    </w:p>
    <w:p>
      <w:pPr>
        <w:pStyle w:val="ListParagraph"/>
        <w:numPr>
          <w:ilvl w:val="0"/>
          <w:numId w:val="2"/>
        </w:numPr>
        <w:spacing w:before="30" w:after="30"/>
      </w:pPr>
      <w:r>
        <w:rPr>
          <w:rFonts w:ascii="Arial" w:cs="Arial" w:eastAsia="Arial" w:hAnsi="Arial"/>
          <w:color w:val="1A1A18"/>
          <w:sz w:val="20"/>
          <w:szCs w:val="20"/>
        </w:rPr>
        <w:t xml:space="preserve">Content-intensive. Quality control is critical — requires proper editorial process, not just AI generation.</w:t>
      </w:r>
    </w:p>
    <w:p>
      <w:pPr>
        <w:pStyle w:val="ListParagraph"/>
        <w:numPr>
          <w:ilvl w:val="0"/>
          <w:numId w:val="2"/>
        </w:numPr>
        <w:spacing w:before="30" w:after="30"/>
      </w:pPr>
      <w:r>
        <w:rPr>
          <w:rFonts w:ascii="Arial" w:cs="Arial" w:eastAsia="Arial" w:hAnsi="Arial"/>
          <w:color w:val="1A1A18"/>
          <w:sz w:val="20"/>
          <w:szCs w:val="20"/>
        </w:rPr>
        <w:t xml:space="preserve">Risks brand dilution if recipe content feels too generic and not sufficiently Italian and Mediterranean in character.</w:t>
      </w:r>
    </w:p>
    <w:p>
      <w:pPr>
        <w:spacing w:before="200" w:after="60"/>
      </w:pPr>
      <w:r>
        <w:rPr>
          <w:rFonts w:ascii="Arial" w:cs="Arial" w:eastAsia="Arial" w:hAnsi="Arial"/>
          <w:b/>
          <w:bCs/>
          <w:color w:val="1A1A18"/>
          <w:sz w:val="22"/>
          <w:szCs w:val="22"/>
        </w:rPr>
        <w:t xml:space="preserve">Risks</w:t>
      </w:r>
    </w:p>
    <w:p>
      <w:pPr>
        <w:pStyle w:val="ListParagraph"/>
        <w:numPr>
          <w:ilvl w:val="0"/>
          <w:numId w:val="2"/>
        </w:numPr>
        <w:spacing w:before="30" w:after="30"/>
      </w:pPr>
      <w:r>
        <w:rPr>
          <w:rFonts w:ascii="Arial" w:cs="Arial" w:eastAsia="Arial" w:hAnsi="Arial"/>
          <w:color w:val="1A1A18"/>
          <w:sz w:val="20"/>
          <w:szCs w:val="20"/>
        </w:rPr>
        <w:t xml:space="preserve">Every recipe that contains a restricted ingredient is a trust-destroying event in a medical context. AI-generated recipes that hallucinate ingredients are particularly dangerous here. All recipes require human review before publication, without exception.</w:t>
      </w:r>
    </w:p>
    <w:p>
      <w:pPr>
        <w:spacing w:before="200" w:after="60"/>
      </w:pPr>
      <w:r>
        <w:rPr>
          <w:rFonts w:ascii="Arial" w:cs="Arial" w:eastAsia="Arial" w:hAnsi="Arial"/>
          <w:b/>
          <w:bCs/>
          <w:color w:val="1A1A18"/>
          <w:sz w:val="22"/>
          <w:szCs w:val="22"/>
        </w:rPr>
        <w:t xml:space="preserve">Verdict</w:t>
      </w:r>
    </w:p>
    <w:p>
      <w:pPr>
        <w:spacing w:before="40" w:after="80"/>
      </w:pPr>
      <w:r>
        <w:rPr>
          <w:rFonts w:ascii="Arial" w:cs="Arial" w:eastAsia="Arial" w:hAnsi="Arial"/>
          <w:color w:val="1A1A18"/>
          <w:sz w:val="20"/>
          <w:szCs w:val="20"/>
        </w:rPr>
        <w:t xml:space="preserve">Build this as a core product pillar from day one. The recipe library is the organic growth engine, the daily retention hook, and the most shareable asset simultaneously. It is also the strongest SEO play available.</w:t>
      </w:r>
    </w:p>
    <w:p>
      <w:pPr>
        <w:spacing w:before="0" w:after="0"/>
      </w:pPr>
      <w:r>
        <w:t xml:space="preserve"/>
      </w:r>
    </w:p>
    <w:p>
      <w:r>
        <w:br w:type="page"/>
      </w:r>
    </w:p>
    <w:p>
      <w:pPr>
        <w:pStyle w:val="Heading1"/>
        <w:pBdr>
          <w:bottom w:val="single" w:color="1E6B5E" w:sz="6" w:space="6"/>
        </w:pBdr>
        <w:spacing w:before="360" w:after="120"/>
      </w:pPr>
      <w:r>
        <w:rPr>
          <w:rFonts w:ascii="Arial" w:cs="Arial" w:eastAsia="Arial" w:hAnsi="Arial"/>
          <w:b/>
          <w:bCs/>
          <w:color w:val="1A1A18"/>
          <w:sz w:val="32"/>
          <w:szCs w:val="32"/>
        </w:rPr>
        <w:t xml:space="preserve">Summary Scorecard</w:t>
      </w:r>
    </w:p>
    <w:p>
      <w:pPr>
        <w:spacing w:before="40" w:after="80"/>
      </w:pPr>
      <w:r>
        <w:rPr>
          <w:rFonts w:ascii="Arial" w:cs="Arial" w:eastAsia="Arial" w:hAnsi="Arial"/>
          <w:color w:val="1A1A18"/>
          <w:sz w:val="20"/>
          <w:szCs w:val="20"/>
        </w:rPr>
        <w:t xml:space="preserve">All ten statements scored across all six growth and engagement vectors.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800"/>
        <w:gridCol w:w="700"/>
        <w:gridCol w:w="700"/>
        <w:gridCol w:w="700"/>
        <w:gridCol w:w="700"/>
        <w:gridCol w:w="700"/>
        <w:gridCol w:w="700"/>
        <w:gridCol w:w="1360"/>
      </w:tblGrid>
      <w:tr>
        <w:trPr>
          <w:tblHeader/>
        </w:trPr>
        <w:tc>
          <w:tcPr>
            <w:tcW w:type="dxa" w:w="200"/>
            <w:tcBorders>
              <w:top w:val="single" w:color="1E6B5E" w:sz="1"/>
              <w:left w:val="single" w:color="1E6B5E" w:sz="1"/>
              <w:bottom w:val="single" w:color="1E6B5E" w:sz="1"/>
              <w:right w:val="single" w:color="1E6B5E" w:sz="1"/>
            </w:tcBorders>
            <w:shd w:fill="1A1A18" w:val="clear"/>
            <w:tcMar>
              <w:top w:type="dxa" w:w="80"/>
              <w:left w:type="dxa" w:w="100"/>
              <w:bottom w:type="dxa" w:w="80"/>
              <w:right w:type="dxa" w:w="100"/>
            </w:tcMar>
          </w:tcPr>
          <w:p>
            <w:r>
              <w:rPr>
                <w:rFonts w:ascii="Arial" w:cs="Arial" w:eastAsia="Arial" w:hAnsi="Arial"/>
                <w:b/>
                <w:bCs/>
                <w:color w:val="FFFFFF"/>
                <w:sz w:val="15"/>
                <w:szCs w:val="15"/>
              </w:rPr>
              <w:t xml:space="preserve">#</w:t>
            </w:r>
          </w:p>
        </w:tc>
        <w:tc>
          <w:tcPr>
            <w:tcW w:type="dxa" w:w="2800"/>
            <w:tcBorders>
              <w:top w:val="single" w:color="1E6B5E" w:sz="1"/>
              <w:left w:val="single" w:color="1E6B5E" w:sz="1"/>
              <w:bottom w:val="single" w:color="1E6B5E" w:sz="1"/>
              <w:right w:val="single" w:color="1E6B5E" w:sz="1"/>
            </w:tcBorders>
            <w:shd w:fill="1A1A18" w:val="clear"/>
            <w:tcMar>
              <w:top w:type="dxa" w:w="80"/>
              <w:left w:type="dxa" w:w="100"/>
              <w:bottom w:type="dxa" w:w="80"/>
              <w:right w:type="dxa" w:w="100"/>
            </w:tcMar>
          </w:tcPr>
          <w:p>
            <w:r>
              <w:rPr>
                <w:rFonts w:ascii="Arial" w:cs="Arial" w:eastAsia="Arial" w:hAnsi="Arial"/>
                <w:b/>
                <w:bCs/>
                <w:color w:val="FFFFFF"/>
                <w:sz w:val="15"/>
                <w:szCs w:val="15"/>
              </w:rPr>
              <w:t xml:space="preserve">Statement</w:t>
            </w:r>
          </w:p>
        </w:tc>
        <w:tc>
          <w:tcPr>
            <w:tcW w:type="dxa" w:w="700"/>
            <w:tcBorders>
              <w:top w:val="single" w:color="1E6B5E" w:sz="1"/>
              <w:left w:val="single" w:color="1E6B5E" w:sz="1"/>
              <w:bottom w:val="single" w:color="1E6B5E" w:sz="1"/>
              <w:right w:val="single" w:color="1E6B5E" w:sz="1"/>
            </w:tcBorders>
            <w:shd w:fill="1A1A18" w:val="clear"/>
            <w:tcMar>
              <w:top w:type="dxa" w:w="80"/>
              <w:left w:type="dxa" w:w="100"/>
              <w:bottom w:type="dxa" w:w="80"/>
              <w:right w:type="dxa" w:w="100"/>
            </w:tcMar>
          </w:tcPr>
          <w:p>
            <w:r>
              <w:rPr>
                <w:rFonts w:ascii="Arial" w:cs="Arial" w:eastAsia="Arial" w:hAnsi="Arial"/>
                <w:b/>
                <w:bCs/>
                <w:color w:val="FFFFFF"/>
                <w:sz w:val="15"/>
                <w:szCs w:val="15"/>
              </w:rPr>
              <w:t xml:space="preserve">Acq.</w:t>
            </w:r>
          </w:p>
        </w:tc>
        <w:tc>
          <w:tcPr>
            <w:tcW w:type="dxa" w:w="700"/>
            <w:tcBorders>
              <w:top w:val="single" w:color="1E6B5E" w:sz="1"/>
              <w:left w:val="single" w:color="1E6B5E" w:sz="1"/>
              <w:bottom w:val="single" w:color="1E6B5E" w:sz="1"/>
              <w:right w:val="single" w:color="1E6B5E" w:sz="1"/>
            </w:tcBorders>
            <w:shd w:fill="1A1A18" w:val="clear"/>
            <w:tcMar>
              <w:top w:type="dxa" w:w="80"/>
              <w:left w:type="dxa" w:w="100"/>
              <w:bottom w:type="dxa" w:w="80"/>
              <w:right w:type="dxa" w:w="100"/>
            </w:tcMar>
          </w:tcPr>
          <w:p>
            <w:r>
              <w:rPr>
                <w:rFonts w:ascii="Arial" w:cs="Arial" w:eastAsia="Arial" w:hAnsi="Arial"/>
                <w:b/>
                <w:bCs/>
                <w:color w:val="FFFFFF"/>
                <w:sz w:val="15"/>
                <w:szCs w:val="15"/>
              </w:rPr>
              <w:t xml:space="preserve">Act.</w:t>
            </w:r>
          </w:p>
        </w:tc>
        <w:tc>
          <w:tcPr>
            <w:tcW w:type="dxa" w:w="700"/>
            <w:tcBorders>
              <w:top w:val="single" w:color="1E6B5E" w:sz="1"/>
              <w:left w:val="single" w:color="1E6B5E" w:sz="1"/>
              <w:bottom w:val="single" w:color="1E6B5E" w:sz="1"/>
              <w:right w:val="single" w:color="1E6B5E" w:sz="1"/>
            </w:tcBorders>
            <w:shd w:fill="1A1A18" w:val="clear"/>
            <w:tcMar>
              <w:top w:type="dxa" w:w="80"/>
              <w:left w:type="dxa" w:w="100"/>
              <w:bottom w:type="dxa" w:w="80"/>
              <w:right w:type="dxa" w:w="100"/>
            </w:tcMar>
          </w:tcPr>
          <w:p>
            <w:r>
              <w:rPr>
                <w:rFonts w:ascii="Arial" w:cs="Arial" w:eastAsia="Arial" w:hAnsi="Arial"/>
                <w:b/>
                <w:bCs/>
                <w:color w:val="FFFFFF"/>
                <w:sz w:val="15"/>
                <w:szCs w:val="15"/>
              </w:rPr>
              <w:t xml:space="preserve">Ret.</w:t>
            </w:r>
          </w:p>
        </w:tc>
        <w:tc>
          <w:tcPr>
            <w:tcW w:type="dxa" w:w="700"/>
            <w:tcBorders>
              <w:top w:val="single" w:color="1E6B5E" w:sz="1"/>
              <w:left w:val="single" w:color="1E6B5E" w:sz="1"/>
              <w:bottom w:val="single" w:color="1E6B5E" w:sz="1"/>
              <w:right w:val="single" w:color="1E6B5E" w:sz="1"/>
            </w:tcBorders>
            <w:shd w:fill="1A1A18" w:val="clear"/>
            <w:tcMar>
              <w:top w:type="dxa" w:w="80"/>
              <w:left w:type="dxa" w:w="100"/>
              <w:bottom w:type="dxa" w:w="80"/>
              <w:right w:type="dxa" w:w="100"/>
            </w:tcMar>
          </w:tcPr>
          <w:p>
            <w:r>
              <w:rPr>
                <w:rFonts w:ascii="Arial" w:cs="Arial" w:eastAsia="Arial" w:hAnsi="Arial"/>
                <w:b/>
                <w:bCs/>
                <w:color w:val="FFFFFF"/>
                <w:sz w:val="15"/>
                <w:szCs w:val="15"/>
              </w:rPr>
              <w:t xml:space="preserve">Exp.</w:t>
            </w:r>
          </w:p>
        </w:tc>
        <w:tc>
          <w:tcPr>
            <w:tcW w:type="dxa" w:w="700"/>
            <w:tcBorders>
              <w:top w:val="single" w:color="1E6B5E" w:sz="1"/>
              <w:left w:val="single" w:color="1E6B5E" w:sz="1"/>
              <w:bottom w:val="single" w:color="1E6B5E" w:sz="1"/>
              <w:right w:val="single" w:color="1E6B5E" w:sz="1"/>
            </w:tcBorders>
            <w:shd w:fill="1A1A18" w:val="clear"/>
            <w:tcMar>
              <w:top w:type="dxa" w:w="80"/>
              <w:left w:type="dxa" w:w="100"/>
              <w:bottom w:type="dxa" w:w="80"/>
              <w:right w:type="dxa" w:w="100"/>
            </w:tcMar>
          </w:tcPr>
          <w:p>
            <w:r>
              <w:rPr>
                <w:rFonts w:ascii="Arial" w:cs="Arial" w:eastAsia="Arial" w:hAnsi="Arial"/>
                <w:b/>
                <w:bCs/>
                <w:color w:val="FFFFFF"/>
                <w:sz w:val="15"/>
                <w:szCs w:val="15"/>
              </w:rPr>
              <w:t xml:space="preserve">Ref.</w:t>
            </w:r>
          </w:p>
        </w:tc>
        <w:tc>
          <w:tcPr>
            <w:tcW w:type="dxa" w:w="700"/>
            <w:tcBorders>
              <w:top w:val="single" w:color="1E6B5E" w:sz="1"/>
              <w:left w:val="single" w:color="1E6B5E" w:sz="1"/>
              <w:bottom w:val="single" w:color="1E6B5E" w:sz="1"/>
              <w:right w:val="single" w:color="1E6B5E" w:sz="1"/>
            </w:tcBorders>
            <w:shd w:fill="1A1A18" w:val="clear"/>
            <w:tcMar>
              <w:top w:type="dxa" w:w="80"/>
              <w:left w:type="dxa" w:w="100"/>
              <w:bottom w:type="dxa" w:w="80"/>
              <w:right w:type="dxa" w:w="100"/>
            </w:tcMar>
          </w:tcPr>
          <w:p>
            <w:r>
              <w:rPr>
                <w:rFonts w:ascii="Arial" w:cs="Arial" w:eastAsia="Arial" w:hAnsi="Arial"/>
                <w:b/>
                <w:bCs/>
                <w:color w:val="FFFFFF"/>
                <w:sz w:val="15"/>
                <w:szCs w:val="15"/>
              </w:rPr>
              <w:t xml:space="preserve">Beh.</w:t>
            </w:r>
          </w:p>
        </w:tc>
        <w:tc>
          <w:tcPr>
            <w:tcW w:type="dxa" w:w="1360"/>
            <w:tcBorders>
              <w:top w:val="single" w:color="1E6B5E" w:sz="1"/>
              <w:left w:val="single" w:color="1E6B5E" w:sz="1"/>
              <w:bottom w:val="single" w:color="1E6B5E" w:sz="1"/>
              <w:right w:val="single" w:color="1E6B5E" w:sz="1"/>
            </w:tcBorders>
            <w:shd w:fill="1A1A18" w:val="clear"/>
            <w:tcMar>
              <w:top w:type="dxa" w:w="80"/>
              <w:left w:type="dxa" w:w="100"/>
              <w:bottom w:type="dxa" w:w="80"/>
              <w:right w:type="dxa" w:w="100"/>
            </w:tcMar>
          </w:tcPr>
          <w:p>
            <w:r>
              <w:rPr>
                <w:rFonts w:ascii="Arial" w:cs="Arial" w:eastAsia="Arial" w:hAnsi="Arial"/>
                <w:b/>
                <w:bCs/>
                <w:color w:val="FFFFFF"/>
                <w:sz w:val="15"/>
                <w:szCs w:val="15"/>
              </w:rPr>
              <w:t xml:space="preserve">Overall</w:t>
            </w:r>
          </w:p>
        </w:tc>
      </w:tr>
      <w:tr>
        <w:tc>
          <w:tcPr>
            <w:tcW w:type="dxa" w:w="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E6B5E"/>
                <w:sz w:val="16"/>
                <w:szCs w:val="16"/>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8"/>
                <w:sz w:val="15"/>
                <w:szCs w:val="15"/>
              </w:rPr>
              <w:t xml:space="preserve">Interactive web format</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B87A18"/>
                <w:sz w:val="14"/>
                <w:szCs w:val="14"/>
              </w:rPr>
              <w:t xml:space="preserve">★★★☆☆ </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B87A18"/>
                <w:sz w:val="14"/>
                <w:szCs w:val="14"/>
              </w:rPr>
              <w:t xml:space="preserve">★★★☆☆ </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1360"/>
            <w:tcBorders>
              <w:top w:val="single" w:color="CCCCCC" w:sz="1"/>
              <w:left w:val="single" w:color="CCCCCC" w:sz="1"/>
              <w:bottom w:val="single" w:color="CCCCCC" w:sz="1"/>
              <w:right w:val="single" w:color="CCCCCC" w:sz="1"/>
            </w:tcBorders>
            <w:shd w:fill="1E6B5E" w:val="clear"/>
            <w:tcMar>
              <w:top w:type="dxa" w:w="60"/>
              <w:left w:type="dxa" w:w="100"/>
              <w:bottom w:type="dxa" w:w="60"/>
              <w:right w:type="dxa" w:w="100"/>
            </w:tcMar>
          </w:tcPr>
          <w:p>
            <w:r>
              <w:rPr>
                <w:rFonts w:ascii="Arial" w:cs="Arial" w:eastAsia="Arial" w:hAnsi="Arial"/>
                <w:b/>
                <w:bCs/>
                <w:color w:val="FFFFFF"/>
                <w:sz w:val="15"/>
                <w:szCs w:val="15"/>
              </w:rPr>
              <w:t xml:space="preserve">Foundation</w:t>
            </w:r>
          </w:p>
        </w:tc>
      </w:tr>
      <w:tr>
        <w:tc>
          <w:tcPr>
            <w:tcW w:type="dxa" w:w="2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r>
              <w:rPr>
                <w:rFonts w:ascii="Arial" w:cs="Arial" w:eastAsia="Arial" w:hAnsi="Arial"/>
                <w:b/>
                <w:bCs/>
                <w:color w:val="1E6B5E"/>
                <w:sz w:val="16"/>
                <w:szCs w:val="16"/>
              </w:rPr>
              <w:t xml:space="preserve">2</w:t>
            </w:r>
          </w:p>
        </w:tc>
        <w:tc>
          <w:tcPr>
            <w:tcW w:type="dxa" w:w="28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r>
              <w:rPr>
                <w:rFonts w:ascii="Arial" w:cs="Arial" w:eastAsia="Arial" w:hAnsi="Arial"/>
                <w:color w:val="1A1A18"/>
                <w:sz w:val="15"/>
                <w:szCs w:val="15"/>
              </w:rPr>
              <w:t xml:space="preserve">AI navigation companion</w:t>
            </w:r>
          </w:p>
        </w:tc>
        <w:tc>
          <w:tcPr>
            <w:tcW w:type="dxa" w:w="7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7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7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7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7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7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1360"/>
            <w:tcBorders>
              <w:top w:val="single" w:color="CCCCCC" w:sz="1"/>
              <w:left w:val="single" w:color="CCCCCC" w:sz="1"/>
              <w:bottom w:val="single" w:color="CCCCCC" w:sz="1"/>
              <w:right w:val="single" w:color="CCCCCC" w:sz="1"/>
            </w:tcBorders>
            <w:shd w:fill="1E6B5E" w:val="clear"/>
            <w:tcMar>
              <w:top w:type="dxa" w:w="60"/>
              <w:left w:type="dxa" w:w="100"/>
              <w:bottom w:type="dxa" w:w="60"/>
              <w:right w:type="dxa" w:w="100"/>
            </w:tcMar>
          </w:tcPr>
          <w:p>
            <w:r>
              <w:rPr>
                <w:rFonts w:ascii="Arial" w:cs="Arial" w:eastAsia="Arial" w:hAnsi="Arial"/>
                <w:b/>
                <w:bCs/>
                <w:color w:val="FFFFFF"/>
                <w:sz w:val="15"/>
                <w:szCs w:val="15"/>
              </w:rPr>
              <w:t xml:space="preserve">Exceptional</w:t>
            </w:r>
          </w:p>
        </w:tc>
      </w:tr>
      <w:tr>
        <w:tc>
          <w:tcPr>
            <w:tcW w:type="dxa" w:w="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E6B5E"/>
                <w:sz w:val="16"/>
                <w:szCs w:val="16"/>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8"/>
                <w:sz w:val="15"/>
                <w:szCs w:val="15"/>
              </w:rPr>
              <w:t xml:space="preserve">Meals not ingredients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B87A18"/>
                <w:sz w:val="14"/>
                <w:szCs w:val="14"/>
              </w:rPr>
              <w:t xml:space="preserve">★★★☆☆ </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1360"/>
            <w:tcBorders>
              <w:top w:val="single" w:color="CCCCCC" w:sz="1"/>
              <w:left w:val="single" w:color="CCCCCC" w:sz="1"/>
              <w:bottom w:val="single" w:color="CCCCCC" w:sz="1"/>
              <w:right w:val="single" w:color="CCCCCC" w:sz="1"/>
            </w:tcBorders>
            <w:shd w:fill="1E6B5E" w:val="clear"/>
            <w:tcMar>
              <w:top w:type="dxa" w:w="60"/>
              <w:left w:type="dxa" w:w="100"/>
              <w:bottom w:type="dxa" w:w="60"/>
              <w:right w:type="dxa" w:w="100"/>
            </w:tcMar>
          </w:tcPr>
          <w:p>
            <w:r>
              <w:rPr>
                <w:rFonts w:ascii="Arial" w:cs="Arial" w:eastAsia="Arial" w:hAnsi="Arial"/>
                <w:b/>
                <w:bCs/>
                <w:color w:val="FFFFFF"/>
                <w:sz w:val="15"/>
                <w:szCs w:val="15"/>
              </w:rPr>
              <w:t xml:space="preserve">Exceptional</w:t>
            </w:r>
          </w:p>
        </w:tc>
      </w:tr>
      <w:tr>
        <w:tc>
          <w:tcPr>
            <w:tcW w:type="dxa" w:w="2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r>
              <w:rPr>
                <w:rFonts w:ascii="Arial" w:cs="Arial" w:eastAsia="Arial" w:hAnsi="Arial"/>
                <w:b/>
                <w:bCs/>
                <w:color w:val="1E6B5E"/>
                <w:sz w:val="16"/>
                <w:szCs w:val="16"/>
              </w:rPr>
              <w:t xml:space="preserve">4</w:t>
            </w:r>
          </w:p>
        </w:tc>
        <w:tc>
          <w:tcPr>
            <w:tcW w:type="dxa" w:w="28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r>
              <w:rPr>
                <w:rFonts w:ascii="Arial" w:cs="Arial" w:eastAsia="Arial" w:hAnsi="Arial"/>
                <w:color w:val="1A1A18"/>
                <w:sz w:val="15"/>
                <w:szCs w:val="15"/>
              </w:rPr>
              <w:t xml:space="preserve">Mobile companion</w:t>
            </w:r>
          </w:p>
        </w:tc>
        <w:tc>
          <w:tcPr>
            <w:tcW w:type="dxa" w:w="7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r>
              <w:rPr>
                <w:rFonts w:ascii="Arial" w:cs="Arial" w:eastAsia="Arial" w:hAnsi="Arial"/>
                <w:color w:val="B87A18"/>
                <w:sz w:val="14"/>
                <w:szCs w:val="14"/>
              </w:rPr>
              <w:t xml:space="preserve">★★★☆☆ </w:t>
            </w:r>
          </w:p>
        </w:tc>
        <w:tc>
          <w:tcPr>
            <w:tcW w:type="dxa" w:w="7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7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7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7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7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1360"/>
            <w:tcBorders>
              <w:top w:val="single" w:color="CCCCCC" w:sz="1"/>
              <w:left w:val="single" w:color="CCCCCC" w:sz="1"/>
              <w:bottom w:val="single" w:color="CCCCCC" w:sz="1"/>
              <w:right w:val="single" w:color="CCCCCC" w:sz="1"/>
            </w:tcBorders>
            <w:shd w:fill="1E6B5E" w:val="clear"/>
            <w:tcMar>
              <w:top w:type="dxa" w:w="60"/>
              <w:left w:type="dxa" w:w="100"/>
              <w:bottom w:type="dxa" w:w="60"/>
              <w:right w:type="dxa" w:w="100"/>
            </w:tcMar>
          </w:tcPr>
          <w:p>
            <w:r>
              <w:rPr>
                <w:rFonts w:ascii="Arial" w:cs="Arial" w:eastAsia="Arial" w:hAnsi="Arial"/>
                <w:b/>
                <w:bCs/>
                <w:color w:val="FFFFFF"/>
                <w:sz w:val="15"/>
                <w:szCs w:val="15"/>
              </w:rPr>
              <w:t xml:space="preserve">Exceptional</w:t>
            </w:r>
          </w:p>
        </w:tc>
      </w:tr>
      <w:tr>
        <w:tc>
          <w:tcPr>
            <w:tcW w:type="dxa" w:w="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E6B5E"/>
                <w:sz w:val="16"/>
                <w:szCs w:val="16"/>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8"/>
                <w:sz w:val="15"/>
                <w:szCs w:val="15"/>
              </w:rPr>
              <w:t xml:space="preserve">Out-of-home guidance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1360"/>
            <w:tcBorders>
              <w:top w:val="single" w:color="CCCCCC" w:sz="1"/>
              <w:left w:val="single" w:color="CCCCCC" w:sz="1"/>
              <w:bottom w:val="single" w:color="CCCCCC" w:sz="1"/>
              <w:right w:val="single" w:color="CCCCCC" w:sz="1"/>
            </w:tcBorders>
            <w:shd w:fill="1E6B5E" w:val="clear"/>
            <w:tcMar>
              <w:top w:type="dxa" w:w="60"/>
              <w:left w:type="dxa" w:w="100"/>
              <w:bottom w:type="dxa" w:w="60"/>
              <w:right w:type="dxa" w:w="100"/>
            </w:tcMar>
          </w:tcPr>
          <w:p>
            <w:r>
              <w:rPr>
                <w:rFonts w:ascii="Arial" w:cs="Arial" w:eastAsia="Arial" w:hAnsi="Arial"/>
                <w:b/>
                <w:bCs/>
                <w:color w:val="FFFFFF"/>
                <w:sz w:val="15"/>
                <w:szCs w:val="15"/>
              </w:rPr>
              <w:t xml:space="preserve">Exceptional</w:t>
            </w:r>
          </w:p>
        </w:tc>
      </w:tr>
      <w:tr>
        <w:tc>
          <w:tcPr>
            <w:tcW w:type="dxa" w:w="2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r>
              <w:rPr>
                <w:rFonts w:ascii="Arial" w:cs="Arial" w:eastAsia="Arial" w:hAnsi="Arial"/>
                <w:b/>
                <w:bCs/>
                <w:color w:val="1E6B5E"/>
                <w:sz w:val="16"/>
                <w:szCs w:val="16"/>
              </w:rPr>
              <w:t xml:space="preserve">6</w:t>
            </w:r>
          </w:p>
        </w:tc>
        <w:tc>
          <w:tcPr>
            <w:tcW w:type="dxa" w:w="28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r>
              <w:rPr>
                <w:rFonts w:ascii="Arial" w:cs="Arial" w:eastAsia="Arial" w:hAnsi="Arial"/>
                <w:color w:val="1A1A18"/>
                <w:sz w:val="15"/>
                <w:szCs w:val="15"/>
              </w:rPr>
              <w:t xml:space="preserve">Compliance tracking</w:t>
            </w:r>
          </w:p>
        </w:tc>
        <w:tc>
          <w:tcPr>
            <w:tcW w:type="dxa" w:w="7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r>
              <w:rPr>
                <w:rFonts w:ascii="Arial" w:cs="Arial" w:eastAsia="Arial" w:hAnsi="Arial"/>
                <w:color w:val="B03020"/>
                <w:sz w:val="14"/>
                <w:szCs w:val="14"/>
              </w:rPr>
              <w:t xml:space="preserve">★★☆☆☆ </w:t>
            </w:r>
          </w:p>
        </w:tc>
        <w:tc>
          <w:tcPr>
            <w:tcW w:type="dxa" w:w="7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r>
              <w:rPr>
                <w:rFonts w:ascii="Arial" w:cs="Arial" w:eastAsia="Arial" w:hAnsi="Arial"/>
                <w:color w:val="B87A18"/>
                <w:sz w:val="14"/>
                <w:szCs w:val="14"/>
              </w:rPr>
              <w:t xml:space="preserve">★★★☆☆ </w:t>
            </w:r>
          </w:p>
        </w:tc>
        <w:tc>
          <w:tcPr>
            <w:tcW w:type="dxa" w:w="7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7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7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r>
              <w:rPr>
                <w:rFonts w:ascii="Arial" w:cs="Arial" w:eastAsia="Arial" w:hAnsi="Arial"/>
                <w:color w:val="B87A18"/>
                <w:sz w:val="14"/>
                <w:szCs w:val="14"/>
              </w:rPr>
              <w:t xml:space="preserve">★★★☆☆ </w:t>
            </w:r>
          </w:p>
        </w:tc>
        <w:tc>
          <w:tcPr>
            <w:tcW w:type="dxa" w:w="7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1360"/>
            <w:tcBorders>
              <w:top w:val="single" w:color="CCCCCC" w:sz="1"/>
              <w:left w:val="single" w:color="CCCCCC" w:sz="1"/>
              <w:bottom w:val="single" w:color="CCCCCC" w:sz="1"/>
              <w:right w:val="single" w:color="CCCCCC" w:sz="1"/>
            </w:tcBorders>
            <w:shd w:fill="B87A18" w:val="clear"/>
            <w:tcMar>
              <w:top w:type="dxa" w:w="60"/>
              <w:left w:type="dxa" w:w="100"/>
              <w:bottom w:type="dxa" w:w="60"/>
              <w:right w:type="dxa" w:w="100"/>
            </w:tcMar>
          </w:tcPr>
          <w:p>
            <w:r>
              <w:rPr>
                <w:rFonts w:ascii="Arial" w:cs="Arial" w:eastAsia="Arial" w:hAnsi="Arial"/>
                <w:b/>
                <w:bCs/>
                <w:color w:val="FFFFFF"/>
                <w:sz w:val="15"/>
                <w:szCs w:val="15"/>
              </w:rPr>
              <w:t xml:space="preserve">High</w:t>
            </w:r>
          </w:p>
        </w:tc>
      </w:tr>
      <w:tr>
        <w:tc>
          <w:tcPr>
            <w:tcW w:type="dxa" w:w="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E6B5E"/>
                <w:sz w:val="16"/>
                <w:szCs w:val="16"/>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8"/>
                <w:sz w:val="15"/>
                <w:szCs w:val="15"/>
              </w:rPr>
              <w:t xml:space="preserve">Outcome-based goals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1360"/>
            <w:tcBorders>
              <w:top w:val="single" w:color="CCCCCC" w:sz="1"/>
              <w:left w:val="single" w:color="CCCCCC" w:sz="1"/>
              <w:bottom w:val="single" w:color="CCCCCC" w:sz="1"/>
              <w:right w:val="single" w:color="CCCCCC" w:sz="1"/>
            </w:tcBorders>
            <w:shd w:fill="1E6B5E" w:val="clear"/>
            <w:tcMar>
              <w:top w:type="dxa" w:w="60"/>
              <w:left w:type="dxa" w:w="100"/>
              <w:bottom w:type="dxa" w:w="60"/>
              <w:right w:type="dxa" w:w="100"/>
            </w:tcMar>
          </w:tcPr>
          <w:p>
            <w:r>
              <w:rPr>
                <w:rFonts w:ascii="Arial" w:cs="Arial" w:eastAsia="Arial" w:hAnsi="Arial"/>
                <w:b/>
                <w:bCs/>
                <w:color w:val="FFFFFF"/>
                <w:sz w:val="15"/>
                <w:szCs w:val="15"/>
              </w:rPr>
              <w:t xml:space="preserve">Exceptional</w:t>
            </w:r>
          </w:p>
        </w:tc>
      </w:tr>
      <w:tr>
        <w:tc>
          <w:tcPr>
            <w:tcW w:type="dxa" w:w="2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r>
              <w:rPr>
                <w:rFonts w:ascii="Arial" w:cs="Arial" w:eastAsia="Arial" w:hAnsi="Arial"/>
                <w:b/>
                <w:bCs/>
                <w:color w:val="1E6B5E"/>
                <w:sz w:val="16"/>
                <w:szCs w:val="16"/>
              </w:rPr>
              <w:t xml:space="preserve">8</w:t>
            </w:r>
          </w:p>
        </w:tc>
        <w:tc>
          <w:tcPr>
            <w:tcW w:type="dxa" w:w="28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r>
              <w:rPr>
                <w:rFonts w:ascii="Arial" w:cs="Arial" w:eastAsia="Arial" w:hAnsi="Arial"/>
                <w:color w:val="1A1A18"/>
                <w:sz w:val="15"/>
                <w:szCs w:val="15"/>
              </w:rPr>
              <w:t xml:space="preserve">Grounded risk communication</w:t>
            </w:r>
          </w:p>
        </w:tc>
        <w:tc>
          <w:tcPr>
            <w:tcW w:type="dxa" w:w="7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7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7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r>
              <w:rPr>
                <w:rFonts w:ascii="Arial" w:cs="Arial" w:eastAsia="Arial" w:hAnsi="Arial"/>
                <w:color w:val="B87A18"/>
                <w:sz w:val="14"/>
                <w:szCs w:val="14"/>
              </w:rPr>
              <w:t xml:space="preserve">★★★☆☆ </w:t>
            </w:r>
          </w:p>
        </w:tc>
        <w:tc>
          <w:tcPr>
            <w:tcW w:type="dxa" w:w="7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r>
              <w:rPr>
                <w:rFonts w:ascii="Arial" w:cs="Arial" w:eastAsia="Arial" w:hAnsi="Arial"/>
                <w:color w:val="B87A18"/>
                <w:sz w:val="14"/>
                <w:szCs w:val="14"/>
              </w:rPr>
              <w:t xml:space="preserve">★★★☆☆ </w:t>
            </w:r>
          </w:p>
        </w:tc>
        <w:tc>
          <w:tcPr>
            <w:tcW w:type="dxa" w:w="7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r>
              <w:rPr>
                <w:rFonts w:ascii="Arial" w:cs="Arial" w:eastAsia="Arial" w:hAnsi="Arial"/>
                <w:color w:val="B03020"/>
                <w:sz w:val="14"/>
                <w:szCs w:val="14"/>
              </w:rPr>
              <w:t xml:space="preserve">★★☆☆☆ </w:t>
            </w:r>
          </w:p>
        </w:tc>
        <w:tc>
          <w:tcPr>
            <w:tcW w:type="dxa" w:w="7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1360"/>
            <w:tcBorders>
              <w:top w:val="single" w:color="CCCCCC" w:sz="1"/>
              <w:left w:val="single" w:color="CCCCCC" w:sz="1"/>
              <w:bottom w:val="single" w:color="CCCCCC" w:sz="1"/>
              <w:right w:val="single" w:color="CCCCCC" w:sz="1"/>
            </w:tcBorders>
            <w:shd w:fill="B87A18" w:val="clear"/>
            <w:tcMar>
              <w:top w:type="dxa" w:w="60"/>
              <w:left w:type="dxa" w:w="100"/>
              <w:bottom w:type="dxa" w:w="60"/>
              <w:right w:type="dxa" w:w="100"/>
            </w:tcMar>
          </w:tcPr>
          <w:p>
            <w:r>
              <w:rPr>
                <w:rFonts w:ascii="Arial" w:cs="Arial" w:eastAsia="Arial" w:hAnsi="Arial"/>
                <w:b/>
                <w:bCs/>
                <w:color w:val="FFFFFF"/>
                <w:sz w:val="15"/>
                <w:szCs w:val="15"/>
              </w:rPr>
              <w:t xml:space="preserve">Moderate</w:t>
            </w:r>
          </w:p>
        </w:tc>
      </w:tr>
      <w:tr>
        <w:tc>
          <w:tcPr>
            <w:tcW w:type="dxa" w:w="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E6B5E"/>
                <w:sz w:val="16"/>
                <w:szCs w:val="16"/>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8"/>
                <w:sz w:val="15"/>
                <w:szCs w:val="15"/>
              </w:rPr>
              <w:t xml:space="preserve">Population benchmarking</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1360"/>
            <w:tcBorders>
              <w:top w:val="single" w:color="CCCCCC" w:sz="1"/>
              <w:left w:val="single" w:color="CCCCCC" w:sz="1"/>
              <w:bottom w:val="single" w:color="CCCCCC" w:sz="1"/>
              <w:right w:val="single" w:color="CCCCCC" w:sz="1"/>
            </w:tcBorders>
            <w:shd w:fill="B87A18" w:val="clear"/>
            <w:tcMar>
              <w:top w:type="dxa" w:w="60"/>
              <w:left w:type="dxa" w:w="100"/>
              <w:bottom w:type="dxa" w:w="60"/>
              <w:right w:type="dxa" w:w="100"/>
            </w:tcMar>
          </w:tcPr>
          <w:p>
            <w:r>
              <w:rPr>
                <w:rFonts w:ascii="Arial" w:cs="Arial" w:eastAsia="Arial" w:hAnsi="Arial"/>
                <w:b/>
                <w:bCs/>
                <w:color w:val="FFFFFF"/>
                <w:sz w:val="15"/>
                <w:szCs w:val="15"/>
              </w:rPr>
              <w:t xml:space="preserve">High</w:t>
            </w:r>
          </w:p>
        </w:tc>
      </w:tr>
      <w:tr>
        <w:tc>
          <w:tcPr>
            <w:tcW w:type="dxa" w:w="2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r>
              <w:rPr>
                <w:rFonts w:ascii="Arial" w:cs="Arial" w:eastAsia="Arial" w:hAnsi="Arial"/>
                <w:b/>
                <w:bCs/>
                <w:color w:val="1E6B5E"/>
                <w:sz w:val="16"/>
                <w:szCs w:val="16"/>
              </w:rPr>
              <w:t xml:space="preserve">10</w:t>
            </w:r>
          </w:p>
        </w:tc>
        <w:tc>
          <w:tcPr>
            <w:tcW w:type="dxa" w:w="28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r>
              <w:rPr>
                <w:rFonts w:ascii="Arial" w:cs="Arial" w:eastAsia="Arial" w:hAnsi="Arial"/>
                <w:color w:val="1A1A18"/>
                <w:sz w:val="15"/>
                <w:szCs w:val="15"/>
              </w:rPr>
              <w:t xml:space="preserve">Recipe companion</w:t>
            </w:r>
          </w:p>
        </w:tc>
        <w:tc>
          <w:tcPr>
            <w:tcW w:type="dxa" w:w="7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7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7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7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7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7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r>
              <w:rPr>
                <w:rFonts w:ascii="Arial" w:cs="Arial" w:eastAsia="Arial" w:hAnsi="Arial"/>
                <w:color w:val="2A7048"/>
                <w:sz w:val="14"/>
                <w:szCs w:val="14"/>
              </w:rPr>
              <w:t xml:space="preserve">★★★★★ </w:t>
            </w:r>
          </w:p>
        </w:tc>
        <w:tc>
          <w:tcPr>
            <w:tcW w:type="dxa" w:w="1360"/>
            <w:tcBorders>
              <w:top w:val="single" w:color="CCCCCC" w:sz="1"/>
              <w:left w:val="single" w:color="CCCCCC" w:sz="1"/>
              <w:bottom w:val="single" w:color="CCCCCC" w:sz="1"/>
              <w:right w:val="single" w:color="CCCCCC" w:sz="1"/>
            </w:tcBorders>
            <w:shd w:fill="1E6B5E" w:val="clear"/>
            <w:tcMar>
              <w:top w:type="dxa" w:w="60"/>
              <w:left w:type="dxa" w:w="100"/>
              <w:bottom w:type="dxa" w:w="60"/>
              <w:right w:type="dxa" w:w="100"/>
            </w:tcMar>
          </w:tcPr>
          <w:p>
            <w:r>
              <w:rPr>
                <w:rFonts w:ascii="Arial" w:cs="Arial" w:eastAsia="Arial" w:hAnsi="Arial"/>
                <w:b/>
                <w:bCs/>
                <w:color w:val="FFFFFF"/>
                <w:sz w:val="15"/>
                <w:szCs w:val="15"/>
              </w:rPr>
              <w:t xml:space="preserve">Exceptional</w:t>
            </w:r>
          </w:p>
        </w:tc>
      </w:tr>
    </w:tbl>
    <w:p>
      <w:pPr>
        <w:spacing w:before="0" w:after="0"/>
      </w:pPr>
      <w:r>
        <w:t xml:space="preserve"/>
      </w:r>
    </w:p>
    <w:p>
      <w:pPr>
        <w:spacing w:before="0" w:after="0"/>
      </w:pPr>
      <w:r>
        <w:t xml:space="preserve"/>
      </w:r>
    </w:p>
    <w:p>
      <w:pPr>
        <w:pStyle w:val="Heading1"/>
        <w:pBdr>
          <w:bottom w:val="single" w:color="1E6B5E" w:sz="6" w:space="6"/>
        </w:pBdr>
        <w:spacing w:before="360" w:after="120"/>
      </w:pPr>
      <w:r>
        <w:rPr>
          <w:rFonts w:ascii="Arial" w:cs="Arial" w:eastAsia="Arial" w:hAnsi="Arial"/>
          <w:b/>
          <w:bCs/>
          <w:color w:val="1A1A18"/>
          <w:sz w:val="32"/>
          <w:szCs w:val="32"/>
        </w:rPr>
        <w:t xml:space="preserve">Recommended Build Sequence</w:t>
      </w:r>
    </w:p>
    <w:p>
      <w:pPr>
        <w:spacing w:before="40" w:after="80"/>
      </w:pPr>
      <w:r>
        <w:rPr>
          <w:rFonts w:ascii="Arial" w:cs="Arial" w:eastAsia="Arial" w:hAnsi="Arial"/>
          <w:color w:val="1A1A18"/>
          <w:sz w:val="20"/>
          <w:szCs w:val="20"/>
        </w:rPr>
        <w:t xml:space="preserve">The vector analysis implies a clear sequencing logic — delivering value early while building capability for the harder features later. Each phase is also roughly ordered by increasing technical complexity.</w:t>
      </w:r>
    </w:p>
    <w:p>
      <w:pPr>
        <w:spacing w:before="0" w:after="0"/>
      </w:pPr>
      <w:r>
        <w:t xml:space="preserve"/>
      </w:r>
    </w:p>
    <w:p>
      <w:pPr>
        <w:pStyle w:val="Heading2"/>
        <w:spacing w:before="280" w:after="80"/>
      </w:pPr>
      <w:r>
        <w:rPr>
          <w:rFonts w:ascii="Arial" w:cs="Arial" w:eastAsia="Arial" w:hAnsi="Arial"/>
          <w:b/>
          <w:bCs/>
          <w:color w:val="1E6B5E"/>
          <w:sz w:val="26"/>
          <w:szCs w:val="26"/>
        </w:rPr>
        <w:t xml:space="preserve">Phase 1 — Foundation &amp; Activation (Weeks 1–4)</w:t>
      </w:r>
    </w:p>
    <w:p>
      <w:pPr>
        <w:spacing w:before="40" w:after="80"/>
      </w:pPr>
      <w:r>
        <w:rPr>
          <w:rFonts w:ascii="Arial" w:cs="Arial" w:eastAsia="Arial" w:hAnsi="Arial"/>
          <w:color w:val="1A1A18"/>
          <w:sz w:val="20"/>
          <w:szCs w:val="20"/>
        </w:rPr>
        <w:t xml:space="preserve">Highest activation impact. Deliver value from day one.</w:t>
      </w:r>
    </w:p>
    <w:p>
      <w:pPr>
        <w:pStyle w:val="ListParagraph"/>
        <w:numPr>
          <w:ilvl w:val="0"/>
          <w:numId w:val="2"/>
        </w:numPr>
        <w:spacing w:before="30" w:after="30"/>
      </w:pPr>
      <w:r>
        <w:rPr>
          <w:rFonts w:ascii="Arial" w:cs="Arial" w:eastAsia="Arial" w:hAnsi="Arial"/>
          <w:color w:val="1A1A18"/>
          <w:sz w:val="20"/>
          <w:szCs w:val="20"/>
        </w:rPr>
        <w:t xml:space="preserve">Interactive report format replacing the PDF</w:t>
      </w:r>
    </w:p>
    <w:p>
      <w:pPr>
        <w:pStyle w:val="ListParagraph"/>
        <w:numPr>
          <w:ilvl w:val="0"/>
          <w:numId w:val="2"/>
        </w:numPr>
        <w:spacing w:before="30" w:after="30"/>
      </w:pPr>
      <w:r>
        <w:rPr>
          <w:rFonts w:ascii="Arial" w:cs="Arial" w:eastAsia="Arial" w:hAnsi="Arial"/>
          <w:color w:val="1A1A18"/>
          <w:sz w:val="20"/>
          <w:szCs w:val="20"/>
        </w:rPr>
        <w:t xml:space="preserve">Meal and recipe translation (core library of 100+ compliant Italian dishes)</w:t>
      </w:r>
    </w:p>
    <w:p>
      <w:pPr>
        <w:pStyle w:val="ListParagraph"/>
        <w:numPr>
          <w:ilvl w:val="0"/>
          <w:numId w:val="2"/>
        </w:numPr>
        <w:spacing w:before="30" w:after="30"/>
      </w:pPr>
      <w:r>
        <w:rPr>
          <w:rFonts w:ascii="Arial" w:cs="Arial" w:eastAsia="Arial" w:hAnsi="Arial"/>
          <w:color w:val="1A1A18"/>
          <w:sz w:val="20"/>
          <w:szCs w:val="20"/>
        </w:rPr>
        <w:t xml:space="preserve">Food tier system (Avoid / Control / Free) presented as real meals</w:t>
      </w:r>
    </w:p>
    <w:p>
      <w:pPr>
        <w:spacing w:before="0" w:after="0"/>
      </w:pPr>
      <w:r>
        <w:t xml:space="preserve"/>
      </w:r>
    </w:p>
    <w:p>
      <w:pPr>
        <w:pStyle w:val="Heading2"/>
        <w:spacing w:before="280" w:after="80"/>
      </w:pPr>
      <w:r>
        <w:rPr>
          <w:rFonts w:ascii="Arial" w:cs="Arial" w:eastAsia="Arial" w:hAnsi="Arial"/>
          <w:b/>
          <w:bCs/>
          <w:color w:val="1E6B5E"/>
          <w:sz w:val="26"/>
          <w:szCs w:val="26"/>
        </w:rPr>
        <w:t xml:space="preserve">Phase 2 — Retention &amp; Behaviour Change (Weeks 5–12)</w:t>
      </w:r>
    </w:p>
    <w:p>
      <w:pPr>
        <w:spacing w:before="40" w:after="80"/>
      </w:pPr>
      <w:r>
        <w:rPr>
          <w:rFonts w:ascii="Arial" w:cs="Arial" w:eastAsia="Arial" w:hAnsi="Arial"/>
          <w:color w:val="1A1A18"/>
          <w:sz w:val="20"/>
          <w:szCs w:val="20"/>
        </w:rPr>
        <w:t xml:space="preserve">Build the daily habit and the behaviour change engine.</w:t>
      </w:r>
    </w:p>
    <w:p>
      <w:pPr>
        <w:pStyle w:val="ListParagraph"/>
        <w:numPr>
          <w:ilvl w:val="0"/>
          <w:numId w:val="2"/>
        </w:numPr>
        <w:spacing w:before="30" w:after="30"/>
      </w:pPr>
      <w:r>
        <w:rPr>
          <w:rFonts w:ascii="Arial" w:cs="Arial" w:eastAsia="Arial" w:hAnsi="Arial"/>
          <w:color w:val="1A1A18"/>
          <w:sz w:val="20"/>
          <w:szCs w:val="20"/>
        </w:rPr>
        <w:t xml:space="preserve">AI companion — chat interface with patient profile as context</w:t>
      </w:r>
    </w:p>
    <w:p>
      <w:pPr>
        <w:pStyle w:val="ListParagraph"/>
        <w:numPr>
          <w:ilvl w:val="0"/>
          <w:numId w:val="2"/>
        </w:numPr>
        <w:spacing w:before="30" w:after="30"/>
      </w:pPr>
      <w:r>
        <w:rPr>
          <w:rFonts w:ascii="Arial" w:cs="Arial" w:eastAsia="Arial" w:hAnsi="Arial"/>
          <w:color w:val="1A1A18"/>
          <w:sz w:val="20"/>
          <w:szCs w:val="20"/>
        </w:rPr>
        <w:t xml:space="preserve">Out-of-home meal guidance built into the AI companion from the start</w:t>
      </w:r>
    </w:p>
    <w:p>
      <w:pPr>
        <w:pStyle w:val="ListParagraph"/>
        <w:numPr>
          <w:ilvl w:val="0"/>
          <w:numId w:val="2"/>
        </w:numPr>
        <w:spacing w:before="30" w:after="30"/>
      </w:pPr>
      <w:r>
        <w:rPr>
          <w:rFonts w:ascii="Arial" w:cs="Arial" w:eastAsia="Arial" w:hAnsi="Arial"/>
          <w:color w:val="1A1A18"/>
          <w:sz w:val="20"/>
          <w:szCs w:val="20"/>
        </w:rPr>
        <w:t xml:space="preserve">Outcome-based goals replacing food-rule framing</w:t>
      </w:r>
    </w:p>
    <w:p>
      <w:pPr>
        <w:pStyle w:val="ListParagraph"/>
        <w:numPr>
          <w:ilvl w:val="0"/>
          <w:numId w:val="2"/>
        </w:numPr>
        <w:spacing w:before="30" w:after="30"/>
      </w:pPr>
      <w:r>
        <w:rPr>
          <w:rFonts w:ascii="Arial" w:cs="Arial" w:eastAsia="Arial" w:hAnsi="Arial"/>
          <w:color w:val="1A1A18"/>
          <w:sz w:val="20"/>
          <w:szCs w:val="20"/>
        </w:rPr>
        <w:t xml:space="preserve">Mobile progressive web app (PWA)</w:t>
      </w:r>
    </w:p>
    <w:p>
      <w:pPr>
        <w:spacing w:before="0" w:after="0"/>
      </w:pPr>
      <w:r>
        <w:t xml:space="preserve"/>
      </w:r>
    </w:p>
    <w:p>
      <w:pPr>
        <w:pStyle w:val="Heading2"/>
        <w:spacing w:before="280" w:after="80"/>
      </w:pPr>
      <w:r>
        <w:rPr>
          <w:rFonts w:ascii="Arial" w:cs="Arial" w:eastAsia="Arial" w:hAnsi="Arial"/>
          <w:b/>
          <w:bCs/>
          <w:color w:val="1E6B5E"/>
          <w:sz w:val="26"/>
          <w:szCs w:val="26"/>
        </w:rPr>
        <w:t xml:space="preserve">Phase 3 — Expansion &amp; Business Model (Weeks 13–20)</w:t>
      </w:r>
    </w:p>
    <w:p>
      <w:pPr>
        <w:spacing w:before="40" w:after="80"/>
      </w:pPr>
      <w:r>
        <w:rPr>
          <w:rFonts w:ascii="Arial" w:cs="Arial" w:eastAsia="Arial" w:hAnsi="Arial"/>
          <w:color w:val="1A1A18"/>
          <w:sz w:val="20"/>
          <w:szCs w:val="20"/>
        </w:rPr>
        <w:t xml:space="preserve">Convert engagement into recurring revenue and referral growth.</w:t>
      </w:r>
    </w:p>
    <w:p>
      <w:pPr>
        <w:pStyle w:val="ListParagraph"/>
        <w:numPr>
          <w:ilvl w:val="0"/>
          <w:numId w:val="2"/>
        </w:numPr>
        <w:spacing w:before="30" w:after="30"/>
      </w:pPr>
      <w:r>
        <w:rPr>
          <w:rFonts w:ascii="Arial" w:cs="Arial" w:eastAsia="Arial" w:hAnsi="Arial"/>
          <w:color w:val="1A1A18"/>
          <w:sz w:val="20"/>
          <w:szCs w:val="20"/>
        </w:rPr>
        <w:t xml:space="preserve">Compliance tracking and scoring system</w:t>
      </w:r>
    </w:p>
    <w:p>
      <w:pPr>
        <w:pStyle w:val="ListParagraph"/>
        <w:numPr>
          <w:ilvl w:val="0"/>
          <w:numId w:val="2"/>
        </w:numPr>
        <w:spacing w:before="30" w:after="30"/>
      </w:pPr>
      <w:r>
        <w:rPr>
          <w:rFonts w:ascii="Arial" w:cs="Arial" w:eastAsia="Arial" w:hAnsi="Arial"/>
          <w:color w:val="1A1A18"/>
          <w:sz w:val="20"/>
          <w:szCs w:val="20"/>
        </w:rPr>
        <w:t xml:space="preserve">Population benchmarking (after reference range validation)</w:t>
      </w:r>
    </w:p>
    <w:p>
      <w:pPr>
        <w:pStyle w:val="ListParagraph"/>
        <w:numPr>
          <w:ilvl w:val="0"/>
          <w:numId w:val="2"/>
        </w:numPr>
        <w:spacing w:before="30" w:after="30"/>
      </w:pPr>
      <w:r>
        <w:rPr>
          <w:rFonts w:ascii="Arial" w:cs="Arial" w:eastAsia="Arial" w:hAnsi="Arial"/>
          <w:color w:val="1A1A18"/>
          <w:sz w:val="20"/>
          <w:szCs w:val="20"/>
        </w:rPr>
        <w:t xml:space="preserve">Risk communication refinement — personalised and precise, not amplified</w:t>
      </w:r>
    </w:p>
    <w:p>
      <w:pPr>
        <w:pStyle w:val="ListParagraph"/>
        <w:numPr>
          <w:ilvl w:val="0"/>
          <w:numId w:val="2"/>
        </w:numPr>
        <w:spacing w:before="30" w:after="30"/>
      </w:pPr>
      <w:r>
        <w:rPr>
          <w:rFonts w:ascii="Arial" w:cs="Arial" w:eastAsia="Arial" w:hAnsi="Arial"/>
          <w:color w:val="1A1A18"/>
          <w:sz w:val="20"/>
          <w:szCs w:val="20"/>
        </w:rPr>
        <w:t xml:space="preserve">Retest prompt and follow-on check-in flow</w:t>
      </w:r>
    </w:p>
    <w:p>
      <w:pPr>
        <w:spacing w:before="0" w:after="0"/>
      </w:pPr>
      <w:r>
        <w:t xml:space="preserve"/>
      </w:r>
    </w:p>
    <w:p>
      <w:pPr>
        <w:pStyle w:val="Heading2"/>
        <w:spacing w:before="280" w:after="80"/>
      </w:pPr>
      <w:r>
        <w:rPr>
          <w:rFonts w:ascii="Arial" w:cs="Arial" w:eastAsia="Arial" w:hAnsi="Arial"/>
          <w:b/>
          <w:bCs/>
          <w:color w:val="1E6B5E"/>
          <w:sz w:val="26"/>
          <w:szCs w:val="26"/>
        </w:rPr>
        <w:t xml:space="preserve">The Gap: Acquisition Strategy</w:t>
      </w:r>
    </w:p>
    <w:p>
      <w:pPr>
        <w:spacing w:before="40" w:after="80"/>
      </w:pPr>
      <w:r>
        <w:rPr>
          <w:rFonts w:ascii="Arial" w:cs="Arial" w:eastAsia="Arial" w:hAnsi="Arial"/>
          <w:color w:val="1A1A18"/>
          <w:sz w:val="20"/>
          <w:szCs w:val="20"/>
        </w:rPr>
        <w:t xml:space="preserve">One critical observation cuts across all ten statements: the weakest vector across the entire list is Acquisition. The statements are almost entirely focused on retention and behaviour change — which is correct for a subscription business — but a separate acquisition strategy is needed that these ten points do not fully address.</w:t>
      </w:r>
    </w:p>
    <w:p>
      <w:pPr>
        <w:spacing w:before="0" w:after="0"/>
      </w:pPr>
      <w:r>
        <w:t xml:space="preserve"/>
      </w:r>
    </w:p>
    <w:p>
      <w:pPr>
        <w:spacing w:before="40" w:after="80"/>
      </w:pPr>
      <w:r>
        <w:rPr>
          <w:rFonts w:ascii="Arial" w:cs="Arial" w:eastAsia="Arial" w:hAnsi="Arial"/>
          <w:b/>
          <w:bCs/>
          <w:color w:val="1A1A18"/>
          <w:sz w:val="20"/>
          <w:szCs w:val="20"/>
        </w:rPr>
        <w:t xml:space="preserve">Key acquisition levers to develop separately:</w:t>
      </w:r>
    </w:p>
    <w:p>
      <w:pPr>
        <w:pStyle w:val="ListParagraph"/>
        <w:numPr>
          <w:ilvl w:val="0"/>
          <w:numId w:val="2"/>
        </w:numPr>
        <w:spacing w:before="30" w:after="30"/>
      </w:pPr>
      <w:r>
        <w:rPr>
          <w:rFonts w:ascii="Arial" w:cs="Arial" w:eastAsia="Arial" w:hAnsi="Arial"/>
          <w:color w:val="1A1A18"/>
          <w:sz w:val="20"/>
          <w:szCs w:val="20"/>
        </w:rPr>
        <w:t xml:space="preserve">SEO through recipe content — the highest-volume organic search opportunity available</w:t>
      </w:r>
    </w:p>
    <w:p>
      <w:pPr>
        <w:pStyle w:val="ListParagraph"/>
        <w:numPr>
          <w:ilvl w:val="0"/>
          <w:numId w:val="2"/>
        </w:numPr>
        <w:spacing w:before="30" w:after="30"/>
      </w:pPr>
      <w:r>
        <w:rPr>
          <w:rFonts w:ascii="Arial" w:cs="Arial" w:eastAsia="Arial" w:hAnsi="Arial"/>
          <w:color w:val="1A1A18"/>
          <w:sz w:val="20"/>
          <w:szCs w:val="20"/>
        </w:rPr>
        <w:t xml:space="preserve">Doctor and nutritionist referral programme — clinical credibility as a distribution channel</w:t>
      </w:r>
    </w:p>
    <w:p>
      <w:pPr>
        <w:pStyle w:val="ListParagraph"/>
        <w:numPr>
          <w:ilvl w:val="0"/>
          <w:numId w:val="2"/>
        </w:numPr>
        <w:spacing w:before="30" w:after="30"/>
      </w:pPr>
      <w:r>
        <w:rPr>
          <w:rFonts w:ascii="Arial" w:cs="Arial" w:eastAsia="Arial" w:hAnsi="Arial"/>
          <w:color w:val="1A1A18"/>
          <w:sz w:val="20"/>
          <w:szCs w:val="20"/>
        </w:rPr>
        <w:t xml:space="preserve">Social proof mechanics — compliance achievements and progress milestones as shareable content</w:t>
      </w:r>
    </w:p>
    <w:p>
      <w:pPr>
        <w:pStyle w:val="ListParagraph"/>
        <w:numPr>
          <w:ilvl w:val="0"/>
          <w:numId w:val="2"/>
        </w:numPr>
        <w:spacing w:before="30" w:after="30"/>
      </w:pPr>
      <w:r>
        <w:rPr>
          <w:rFonts w:ascii="Arial" w:cs="Arial" w:eastAsia="Arial" w:hAnsi="Arial"/>
          <w:color w:val="1A1A18"/>
          <w:sz w:val="20"/>
          <w:szCs w:val="20"/>
        </w:rPr>
        <w:t xml:space="preserve">Partnership with testing labs and pharmacies for test distribution</w:t>
      </w:r>
    </w:p>
    <w:p>
      <w:pPr>
        <w:pStyle w:val="ListParagraph"/>
        <w:numPr>
          <w:ilvl w:val="0"/>
          <w:numId w:val="2"/>
        </w:numPr>
        <w:spacing w:before="30" w:after="30"/>
      </w:pPr>
      <w:r>
        <w:rPr>
          <w:rFonts w:ascii="Arial" w:cs="Arial" w:eastAsia="Arial" w:hAnsi="Arial"/>
          <w:color w:val="1A1A18"/>
          <w:sz w:val="20"/>
          <w:szCs w:val="20"/>
        </w:rPr>
        <w:t xml:space="preserve">B2B channel — corporate wellness programmes and health insurance partnerships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6B5E" w:sz="4" w:space="4"/>
      </w:pBdr>
      <w:tabs>
        <w:tab w:val="right" w:pos="9026"/>
      </w:tabs>
      <w:spacing w:before="120" w:after="0"/>
    </w:pPr>
    <w:r>
      <w:rPr>
        <w:rFonts w:ascii="Arial" w:cs="Arial" w:eastAsia="Arial" w:hAnsi="Arial"/>
        <w:color w:val="999999"/>
        <w:sz w:val="16"/>
        <w:szCs w:val="16"/>
      </w:rPr>
      <w:t xml:space="preserve">Confidential — March 2026</w:t>
    </w:r>
    <w:r>
      <w:rPr>
        <w:rFonts w:ascii="Arial" w:cs="Arial" w:eastAsia="Arial" w:hAnsi="Arial"/>
        <w:color w:val="999999"/>
        <w:sz w:val="16"/>
        <w:szCs w:val="16"/>
      </w:rPr>
      <w:t xml:space="preserve">	Page </w:t>
    </w:r>
    <w:r>
      <w:rPr>
        <w:rFonts w:ascii="Arial" w:cs="Arial" w:eastAsia="Arial" w:hAnsi="Arial"/>
        <w:color w:val="1E6B5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6B5E" w:sz="4" w:space="4"/>
      </w:pBdr>
      <w:tabs>
        <w:tab w:val="right" w:pos="9026"/>
      </w:tabs>
      <w:spacing w:before="0" w:after="120"/>
    </w:pPr>
    <w:r>
      <w:rPr>
        <w:rFonts w:ascii="Arial" w:cs="Arial" w:eastAsia="Arial" w:hAnsi="Arial"/>
        <w:b/>
        <w:bCs/>
        <w:color w:val="1E6B5E"/>
        <w:sz w:val="18"/>
        <w:szCs w:val="18"/>
      </w:rPr>
      <w:t xml:space="preserve">GEK Lab Digital Strategy</w:t>
    </w:r>
    <w:r>
      <w:rPr>
        <w:rFonts w:ascii="Arial" w:cs="Arial" w:eastAsia="Arial" w:hAnsi="Arial"/>
        <w:color w:val="999999"/>
        <w:sz w:val="18"/>
        <w:szCs w:val="18"/>
      </w:rPr>
      <w:t xml:space="preserve">	Growth &amp; Engagement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18"/>
      <w:sz w:val="32"/>
      <w:szCs w:val="32"/>
    </w:rPr>
  </w:style>
  <w:style w:type="paragraph" w:styleId="Heading2">
    <w:name w:val="Heading 2"/>
    <w:basedOn w:val="Normal"/>
    <w:next w:val="Normal"/>
    <w:qFormat/>
    <w:pPr>
      <w:spacing w:before="280" w:after="80"/>
      <w:outlineLvl w:val="1"/>
    </w:pPr>
    <w:rPr>
      <w:rFonts w:ascii="Arial" w:cs="Arial" w:eastAsia="Arial" w:hAnsi="Arial"/>
      <w:b/>
      <w:bCs/>
      <w:color w:val="1E6B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2026-03-09T14:39:48.899Z</dcterms:created>
  <dcterms:modified xsi:type="dcterms:W3CDTF">2026-03-09T14:39:48.900Z</dcterms:modified>
</cp:coreProperties>
</file>

<file path=docProps/custom.xml><?xml version="1.0" encoding="utf-8"?>
<Properties xmlns="http://schemas.openxmlformats.org/officeDocument/2006/custom-properties" xmlns:vt="http://schemas.openxmlformats.org/officeDocument/2006/docPropsVTypes"/>
</file>