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jc w:val="center"/>
      </w:pPr>
      <w:r>
        <w:rPr>
          <w:rFonts w:ascii="Arial" w:cs="Arial" w:eastAsia="Arial" w:hAnsi="Arial"/>
          <w:b/>
          <w:bCs/>
          <w:color w:val="1A5E51"/>
          <w:sz w:val="56"/>
          <w:szCs w:val="56"/>
        </w:rPr>
        <w:t xml:space="preserve">GEK LAB / PerMè PROGRAMME</w:t>
      </w:r>
    </w:p>
    <w:p>
      <w:pPr>
        <w:spacing w:after="80" w:before="0"/>
        <w:jc w:val="center"/>
      </w:pPr>
      <w:r>
        <w:rPr>
          <w:rFonts w:ascii="Arial" w:cs="Arial" w:eastAsia="Arial" w:hAnsi="Arial"/>
          <w:b/>
          <w:bCs/>
          <w:color w:val="1A2A3A"/>
          <w:sz w:val="36"/>
          <w:szCs w:val="36"/>
        </w:rPr>
        <w:t xml:space="preserve">Scientific Risk Assessment</w:t>
      </w:r>
    </w:p>
    <w:p>
      <w:pPr>
        <w:spacing w:after="300" w:before="0"/>
        <w:jc w:val="center"/>
      </w:pPr>
      <w:r>
        <w:rPr>
          <w:rFonts w:ascii="Arial" w:cs="Arial" w:eastAsia="Arial" w:hAnsi="Arial"/>
          <w:i/>
          <w:iCs/>
          <w:color w:val="666666"/>
          <w:sz w:val="22"/>
          <w:szCs w:val="22"/>
        </w:rPr>
        <w:t xml:space="preserve">The IgG question: consensus, commercial impact and strategic response</w:t>
      </w:r>
    </w:p>
    <w:p>
      <w:pPr>
        <w:pBdr>
          <w:bottom w:val="single" w:color="1A5E51" w:sz="6" w:space="8"/>
        </w:pBdr>
        <w:spacing w:after="400" w:before="0"/>
        <w:jc w:val="center"/>
      </w:pPr>
      <w:r>
        <w:rPr>
          <w:sz w:val="20"/>
          <w:szCs w:val="20"/>
        </w:rPr>
        <w:t xml:space="preserve"> </w:t>
      </w:r>
    </w:p>
    <w:p>
      <w:pPr>
        <w:spacing w:after="80" w:before="0"/>
      </w:pPr>
      <w:r>
        <w:t xml:space="preserve"/>
      </w:r>
    </w:p>
    <w:p>
      <w:pPr>
        <w:spacing w:after="80" w:before="0"/>
      </w:pPr>
      <w:r>
        <w:t xml:space="preserve"/>
      </w:r>
    </w:p>
    <w:p>
      <w:pPr>
        <w:spacing w:after="40" w:before="0"/>
        <w:jc w:val="center"/>
      </w:pPr>
      <w:r>
        <w:rPr>
          <w:rFonts w:ascii="Arial" w:cs="Arial" w:eastAsia="Arial" w:hAnsi="Arial"/>
          <w:i/>
          <w:iCs/>
          <w:color w:val="999999"/>
          <w:sz w:val="18"/>
          <w:szCs w:val="18"/>
        </w:rPr>
        <w:t xml:space="preserve">Confidential — Internal Use Only</w:t>
      </w:r>
    </w:p>
    <w:p>
      <w:pPr>
        <w:spacing w:after="300" w:before="0"/>
        <w:jc w:val="center"/>
      </w:pPr>
      <w:r>
        <w:rPr>
          <w:rFonts w:ascii="Arial" w:cs="Arial" w:eastAsia="Arial" w:hAnsi="Arial"/>
          <w:i/>
          <w:iCs/>
          <w:color w:val="999999"/>
          <w:sz w:val="18"/>
          <w:szCs w:val="18"/>
        </w:rPr>
        <w:t xml:space="preserve">March 2026</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tcBorders>
              <w:top w:val="single" w:color="CCCCAA" w:sz="4"/>
              <w:left w:val="single" w:color="CCCCAA" w:sz="4"/>
              <w:bottom w:val="single" w:color="CCCCAA" w:sz="4"/>
              <w:right w:val="single" w:color="CCCCAA" w:sz="4"/>
            </w:tcBorders>
            <w:shd w:fill="F5F3EE" w:val="clear"/>
            <w:tcMar>
              <w:top w:type="dxa" w:w="160"/>
              <w:left w:type="dxa" w:w="240"/>
              <w:bottom w:type="dxa" w:w="160"/>
              <w:right w:type="dxa" w:w="240"/>
            </w:tcMar>
          </w:tcPr>
          <w:p>
            <w:pPr>
              <w:spacing w:after="100" w:before="0"/>
            </w:pPr>
            <w:r>
              <w:rPr>
                <w:rFonts w:ascii="Arial" w:cs="Arial" w:eastAsia="Arial" w:hAnsi="Arial"/>
                <w:b/>
                <w:bCs/>
                <w:color w:val="1A2A3A"/>
                <w:sz w:val="20"/>
                <w:szCs w:val="20"/>
              </w:rPr>
              <w:t xml:space="preserve">Contents</w:t>
            </w:r>
          </w:p>
          <w:p>
            <w:pPr>
              <w:spacing w:after="40" w:before="0"/>
            </w:pPr>
            <w:r>
              <w:rPr>
                <w:rFonts w:ascii="Arial" w:cs="Arial" w:eastAsia="Arial" w:hAnsi="Arial"/>
                <w:color w:val="1A1A1A"/>
                <w:sz w:val="18"/>
                <w:szCs w:val="18"/>
              </w:rPr>
              <w:t xml:space="preserve">1.  The scientific consensus on food-specific IgG testing</w:t>
            </w:r>
          </w:p>
          <w:p>
            <w:pPr>
              <w:spacing w:after="40" w:before="0"/>
            </w:pPr>
            <w:r>
              <w:rPr>
                <w:rFonts w:ascii="Arial" w:cs="Arial" w:eastAsia="Arial" w:hAnsi="Arial"/>
                <w:color w:val="1A1A1A"/>
                <w:sz w:val="18"/>
                <w:szCs w:val="18"/>
              </w:rPr>
              <w:t xml:space="preserve">2.  The core biological problem</w:t>
            </w:r>
          </w:p>
          <w:p>
            <w:pPr>
              <w:spacing w:after="40" w:before="0"/>
            </w:pPr>
            <w:r>
              <w:rPr>
                <w:rFonts w:ascii="Arial" w:cs="Arial" w:eastAsia="Arial" w:hAnsi="Arial"/>
                <w:color w:val="1A1A1A"/>
                <w:sz w:val="18"/>
                <w:szCs w:val="18"/>
              </w:rPr>
              <w:t xml:space="preserve">3.  What happens to the PerMè report without IgG</w:t>
            </w:r>
          </w:p>
          <w:p>
            <w:pPr>
              <w:spacing w:after="40" w:before="0"/>
            </w:pPr>
            <w:r>
              <w:rPr>
                <w:rFonts w:ascii="Arial" w:cs="Arial" w:eastAsia="Arial" w:hAnsi="Arial"/>
                <w:color w:val="1A1A1A"/>
                <w:sz w:val="18"/>
                <w:szCs w:val="18"/>
              </w:rPr>
              <w:t xml:space="preserve">4.  The component-by-component assessment</w:t>
            </w:r>
          </w:p>
          <w:p>
            <w:pPr>
              <w:spacing w:after="40" w:before="0"/>
            </w:pPr>
            <w:r>
              <w:rPr>
                <w:rFonts w:ascii="Arial" w:cs="Arial" w:eastAsia="Arial" w:hAnsi="Arial"/>
                <w:color w:val="1A1A1A"/>
                <w:sz w:val="18"/>
                <w:szCs w:val="18"/>
              </w:rPr>
              <w:t xml:space="preserve">5.  Risk scenarios and probability</w:t>
            </w:r>
          </w:p>
          <w:p>
            <w:pPr>
              <w:spacing w:after="40" w:before="0"/>
            </w:pPr>
            <w:r>
              <w:rPr>
                <w:rFonts w:ascii="Arial" w:cs="Arial" w:eastAsia="Arial" w:hAnsi="Arial"/>
                <w:color w:val="1A1A1A"/>
                <w:sz w:val="18"/>
                <w:szCs w:val="18"/>
              </w:rPr>
              <w:t xml:space="preserve">6.  The strategic response — three paths forward</w:t>
            </w:r>
          </w:p>
          <w:p>
            <w:pPr>
              <w:spacing w:after="40" w:before="0"/>
            </w:pPr>
            <w:r>
              <w:rPr>
                <w:rFonts w:ascii="Arial" w:cs="Arial" w:eastAsia="Arial" w:hAnsi="Arial"/>
                <w:color w:val="1A1A1A"/>
                <w:sz w:val="18"/>
                <w:szCs w:val="18"/>
              </w:rPr>
              <w:t xml:space="preserve">7.  The bottom line</w:t>
            </w:r>
          </w:p>
        </w:tc>
      </w:tr>
    </w:tbl>
    <w:p>
      <w:r>
        <w:br w:type="page"/>
      </w:r>
    </w:p>
    <w:p>
      <w:pPr>
        <w:pBdr>
          <w:bottom w:val="single" w:color="1A5E51" w:sz="8" w:space="6"/>
        </w:pBdr>
        <w:spacing w:after="160" w:before="400"/>
      </w:pPr>
      <w:r>
        <w:rPr>
          <w:rFonts w:ascii="Arial" w:cs="Arial" w:eastAsia="Arial" w:hAnsi="Arial"/>
          <w:b/>
          <w:bCs/>
          <w:color w:val="1A2A3A"/>
          <w:sz w:val="32"/>
          <w:szCs w:val="32"/>
        </w:rPr>
        <w:t xml:space="preserve">1. The Scientific Consensus</w:t>
      </w:r>
    </w:p>
    <w:p>
      <w:pPr>
        <w:spacing w:after="100" w:before="40"/>
      </w:pPr>
      <w:r>
        <w:rPr>
          <w:rFonts w:ascii="Arial" w:cs="Arial" w:eastAsia="Arial" w:hAnsi="Arial"/>
          <w:color w:val="1A1A1A"/>
          <w:sz w:val="20"/>
          <w:szCs w:val="20"/>
        </w:rPr>
        <w:t xml:space="preserve">This is not growing scepticism. The scientific consensus against food-specific IgG testing has been settled since at least 2008 and has strengthened with each successive guideline update. Every major international allergy and clinical immunology body has issued formal statements against its use as a diagnostic tool.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E51" w:sz="4"/>
              <w:left w:val="single" w:color="1A5E51" w:sz="4"/>
              <w:bottom w:val="single" w:color="1A5E51" w:sz="4"/>
              <w:right w:val="single" w:color="1A5E51" w:sz="4"/>
            </w:tcBorders>
            <w:shd w:fill="1A5E51" w:val="clear"/>
            <w:tcMar>
              <w:top w:type="dxa" w:w="80"/>
              <w:left w:type="dxa" w:w="140"/>
              <w:bottom w:type="dxa" w:w="80"/>
              <w:right w:type="dxa" w:w="140"/>
            </w:tcMar>
          </w:tcPr>
          <w:p>
            <w:r>
              <w:rPr>
                <w:rFonts w:ascii="Arial" w:cs="Arial" w:eastAsia="Arial" w:hAnsi="Arial"/>
                <w:b/>
                <w:bCs/>
                <w:color w:val="FFFFFF"/>
                <w:sz w:val="18"/>
                <w:szCs w:val="18"/>
              </w:rPr>
              <w:t xml:space="preserve">Organisation</w:t>
            </w:r>
          </w:p>
        </w:tc>
        <w:tc>
          <w:tcPr>
            <w:tcW w:type="dxa" w:w="6560"/>
            <w:tcBorders>
              <w:top w:val="single" w:color="1A5E51" w:sz="4"/>
              <w:left w:val="single" w:color="1A5E51" w:sz="4"/>
              <w:bottom w:val="single" w:color="1A5E51" w:sz="4"/>
              <w:right w:val="single" w:color="1A5E51" w:sz="4"/>
            </w:tcBorders>
            <w:shd w:fill="1A5E51" w:val="clear"/>
            <w:tcMar>
              <w:top w:type="dxa" w:w="80"/>
              <w:left w:type="dxa" w:w="140"/>
              <w:bottom w:type="dxa" w:w="80"/>
              <w:right w:type="dxa" w:w="140"/>
            </w:tcMar>
          </w:tcPr>
          <w:p>
            <w:r>
              <w:rPr>
                <w:rFonts w:ascii="Arial" w:cs="Arial" w:eastAsia="Arial" w:hAnsi="Arial"/>
                <w:b/>
                <w:bCs/>
                <w:color w:val="FFFFFF"/>
                <w:sz w:val="18"/>
                <w:szCs w:val="18"/>
              </w:rPr>
              <w:t xml:space="preserve">Position</w:t>
            </w:r>
          </w:p>
        </w:tc>
      </w:tr>
      <w:tr>
        <w:tc>
          <w:tcPr>
            <w:tcW w:type="dxa" w:w="280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bCs/>
                <w:color w:val="1A1A1A"/>
                <w:sz w:val="18"/>
                <w:szCs w:val="18"/>
              </w:rPr>
              <w:t xml:space="preserve">EAACI
(European Academy of Allergy and Clinical Immunology)</w:t>
            </w:r>
          </w:p>
        </w:tc>
        <w:tc>
          <w:tcPr>
            <w:tcW w:type="dxa" w:w="656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val="false"/>
                <w:bCs w:val="false"/>
                <w:color w:val="1A1A1A"/>
                <w:sz w:val="18"/>
                <w:szCs w:val="18"/>
              </w:rPr>
              <w:t xml:space="preserve">2023 guidelines make a STRONG RECOMMENDATION AGAINST IgG and IgG subclass tests for diagnosing food allergy or intolerance. Describes their use as carrying "significant risks" including unnecessary dietary restriction and reduced quality of life.</w:t>
            </w:r>
          </w:p>
        </w:tc>
      </w:tr>
      <w:tr>
        <w:tc>
          <w:tcPr>
            <w:tcW w:type="dxa" w:w="28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r>
              <w:rPr>
                <w:rFonts w:ascii="Arial" w:cs="Arial" w:eastAsia="Arial" w:hAnsi="Arial"/>
                <w:b/>
                <w:bCs/>
                <w:color w:val="1A1A1A"/>
                <w:sz w:val="18"/>
                <w:szCs w:val="18"/>
              </w:rPr>
              <w:t xml:space="preserve">AAAAI + ACAAI
(US Allergy Academies)</w:t>
            </w:r>
          </w:p>
        </w:tc>
        <w:tc>
          <w:tcPr>
            <w:tcW w:type="dxa" w:w="656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r>
              <w:rPr>
                <w:rFonts w:ascii="Arial" w:cs="Arial" w:eastAsia="Arial" w:hAnsi="Arial"/>
                <w:b w:val="false"/>
                <w:bCs w:val="false"/>
                <w:color w:val="1A1A1A"/>
                <w:sz w:val="18"/>
                <w:szCs w:val="18"/>
              </w:rPr>
              <w:t xml:space="preserve">Formally states that "measurement of food-specific IgG and IgG4 antibodies in serum are not recommended for the diagnosis of non-IgE-mediated food-related allergic disorders." Published position paper calling IgG food testing a "myth".</w:t>
            </w:r>
          </w:p>
        </w:tc>
      </w:tr>
      <w:tr>
        <w:tc>
          <w:tcPr>
            <w:tcW w:type="dxa" w:w="280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bCs/>
                <w:color w:val="1A1A1A"/>
                <w:sz w:val="18"/>
                <w:szCs w:val="18"/>
              </w:rPr>
              <w:t xml:space="preserve">CSACI
(Canadian Society of Allergy and Clinical Immunology)</w:t>
            </w:r>
          </w:p>
        </w:tc>
        <w:tc>
          <w:tcPr>
            <w:tcW w:type="dxa" w:w="656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val="false"/>
                <w:bCs w:val="false"/>
                <w:color w:val="1A1A1A"/>
                <w:sz w:val="18"/>
                <w:szCs w:val="18"/>
              </w:rPr>
              <w:t xml:space="preserve">"Strongly discourages" the practice. States explicitly: "there is no body of research that supports the use of this test to diagnose adverse reactions to food or to predict future adverse reactions."</w:t>
            </w:r>
          </w:p>
        </w:tc>
      </w:tr>
      <w:tr>
        <w:tc>
          <w:tcPr>
            <w:tcW w:type="dxa" w:w="28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r>
              <w:rPr>
                <w:rFonts w:ascii="Arial" w:cs="Arial" w:eastAsia="Arial" w:hAnsi="Arial"/>
                <w:b/>
                <w:bCs/>
                <w:color w:val="1A1A1A"/>
                <w:sz w:val="18"/>
                <w:szCs w:val="18"/>
              </w:rPr>
              <w:t xml:space="preserve">BDA
(British Dietetic Association)</w:t>
            </w:r>
          </w:p>
        </w:tc>
        <w:tc>
          <w:tcPr>
            <w:tcW w:type="dxa" w:w="656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r>
              <w:rPr>
                <w:rFonts w:ascii="Arial" w:cs="Arial" w:eastAsia="Arial" w:hAnsi="Arial"/>
                <w:b w:val="false"/>
                <w:bCs w:val="false"/>
                <w:color w:val="1A1A1A"/>
                <w:sz w:val="18"/>
                <w:szCs w:val="18"/>
              </w:rPr>
              <w:t xml:space="preserve">"There is currently no convincing evidence to support this test and it is not recommended as a diagnostic tool." Audit group recommended IgG testing be discontinued.</w:t>
            </w:r>
          </w:p>
        </w:tc>
      </w:tr>
      <w:tr>
        <w:tc>
          <w:tcPr>
            <w:tcW w:type="dxa" w:w="280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bCs/>
                <w:color w:val="1A1A1A"/>
                <w:sz w:val="18"/>
                <w:szCs w:val="18"/>
              </w:rPr>
              <w:t xml:space="preserve">DGAKI, EAACI, DGIM, DG-KL, DAEM
(German/European speciality bodies)</w:t>
            </w:r>
          </w:p>
        </w:tc>
        <w:tc>
          <w:tcPr>
            <w:tcW w:type="dxa" w:w="656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val="false"/>
                <w:bCs w:val="false"/>
                <w:color w:val="1A1A1A"/>
                <w:sz w:val="18"/>
                <w:szCs w:val="18"/>
              </w:rPr>
              <w:t xml:space="preserve">Joint statement: "the determination of IgG and IgG4 antibodies against food has no diagnostic value" for food allergy or intolerance work-up.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51" w:sz="4"/>
              <w:left w:val="single" w:color="1A5E51" w:sz="20"/>
              <w:bottom w:val="single" w:color="1A5E51" w:sz="4"/>
              <w:right w:val="single" w:color="1A5E51" w:sz="4"/>
            </w:tcBorders>
            <w:shd w:fill="EBF4F1" w:val="clear"/>
            <w:tcMar>
              <w:top w:type="dxa" w:w="120"/>
              <w:left w:type="dxa" w:w="200"/>
              <w:bottom w:type="dxa" w:w="120"/>
              <w:right w:type="dxa" w:w="200"/>
            </w:tcMar>
          </w:tcPr>
          <w:p>
            <w:pPr>
              <w:spacing w:after="80" w:before="0"/>
            </w:pPr>
            <w:r>
              <w:rPr>
                <w:rFonts w:ascii="Arial" w:cs="Arial" w:eastAsia="Arial" w:hAnsi="Arial"/>
                <w:b/>
                <w:bCs/>
                <w:color w:val="1A5E51"/>
                <w:sz w:val="18"/>
                <w:szCs w:val="18"/>
              </w:rPr>
              <w:t xml:space="preserve">ℹ  Important context</w:t>
            </w:r>
          </w:p>
          <w:p>
            <w:pPr>
              <w:spacing w:after="40" w:before="0"/>
            </w:pPr>
            <w:r>
              <w:rPr>
                <w:rFonts w:ascii="Arial" w:cs="Arial" w:eastAsia="Arial" w:hAnsi="Arial"/>
                <w:color w:val="1A1A1A"/>
                <w:sz w:val="18"/>
                <w:szCs w:val="18"/>
              </w:rPr>
              <w:t xml:space="preserve">GEK Lab has operated successfully through 14 years of this consensus without formal regulatory action.</w:t>
            </w:r>
          </w:p>
          <w:p>
            <w:pPr>
              <w:spacing w:after="40" w:before="0"/>
            </w:pPr>
            <w:r>
              <w:rPr>
                <w:rFonts w:ascii="Arial" w:cs="Arial" w:eastAsia="Arial" w:hAnsi="Arial"/>
                <w:color w:val="1A1A1A"/>
                <w:sz w:val="18"/>
                <w:szCs w:val="18"/>
              </w:rPr>
              <w:t xml:space="preserve">The methodology has not been banned in Italy or the EU. It continues to operate legally.</w:t>
            </w:r>
          </w:p>
          <w:p>
            <w:pPr>
              <w:spacing w:after="40" w:before="0"/>
            </w:pPr>
            <w:r>
              <w:rPr>
                <w:rFonts w:ascii="Arial" w:cs="Arial" w:eastAsia="Arial" w:hAnsi="Arial"/>
                <w:color w:val="1A1A1A"/>
                <w:sz w:val="18"/>
                <w:szCs w:val="18"/>
              </w:rPr>
              <w:t xml:space="preserve">The risk is not imminent collapse — it is a long-term trend that is not moving in GEK Lab’s favour.</w:t>
            </w:r>
          </w:p>
        </w:tc>
      </w:tr>
    </w:tbl>
    <w:p>
      <w:pPr>
        <w:spacing w:after="80" w:before="0"/>
      </w:pPr>
      <w:r>
        <w:t xml:space="preserve"/>
      </w:r>
    </w:p>
    <w:p>
      <w:r>
        <w:br w:type="page"/>
      </w:r>
    </w:p>
    <w:p>
      <w:pPr>
        <w:pBdr>
          <w:bottom w:val="single" w:color="1A5E51" w:sz="8" w:space="6"/>
        </w:pBdr>
        <w:spacing w:after="160" w:before="400"/>
      </w:pPr>
      <w:r>
        <w:rPr>
          <w:rFonts w:ascii="Arial" w:cs="Arial" w:eastAsia="Arial" w:hAnsi="Arial"/>
          <w:b/>
          <w:bCs/>
          <w:color w:val="1A2A3A"/>
          <w:sz w:val="32"/>
          <w:szCs w:val="32"/>
        </w:rPr>
        <w:t xml:space="preserve">2. The Core Biological Problem</w:t>
      </w:r>
    </w:p>
    <w:p>
      <w:pPr>
        <w:spacing w:after="100" w:before="40"/>
      </w:pPr>
      <w:r>
        <w:rPr>
          <w:rFonts w:ascii="Arial" w:cs="Arial" w:eastAsia="Arial" w:hAnsi="Arial"/>
          <w:color w:val="1A1A1A"/>
          <w:sz w:val="20"/>
          <w:szCs w:val="20"/>
        </w:rPr>
        <w:t xml:space="preserve">The fundamental scientific objection is not about the quality of GEK Lab’s laboratory technique. It is about what IgG antibodies to food actually mean biologically.</w:t>
      </w:r>
    </w:p>
    <w:p>
      <w:pPr>
        <w:spacing w:after="80" w:before="0"/>
      </w:pPr>
      <w:r>
        <w:t xml:space="preserve"/>
      </w:r>
    </w:p>
    <w:p>
      <w:pPr>
        <w:spacing w:after="100" w:before="280"/>
      </w:pPr>
      <w:r>
        <w:rPr>
          <w:rFonts w:ascii="Arial" w:cs="Arial" w:eastAsia="Arial" w:hAnsi="Arial"/>
          <w:b/>
          <w:bCs/>
          <w:color w:val="1A5E51"/>
          <w:sz w:val="24"/>
          <w:szCs w:val="24"/>
        </w:rPr>
        <w:t xml:space="preserve">What IgG food antibodies actually indicate</w:t>
      </w:r>
    </w:p>
    <w:p>
      <w:pPr>
        <w:spacing w:after="60" w:before="0"/>
      </w:pPr>
      <w:r>
        <w:rPr>
          <w:rFonts w:ascii="Arial" w:cs="Arial" w:eastAsia="Arial" w:hAnsi="Arial"/>
          <w:color w:val="1A1A1A"/>
          <w:sz w:val="19"/>
          <w:szCs w:val="19"/>
        </w:rPr>
        <w:t xml:space="preserve">•  IgG antibodies are produced as a normal physiological response when the immune system is exposed to food proteins.</w:t>
      </w:r>
    </w:p>
    <w:p>
      <w:pPr>
        <w:spacing w:after="60" w:before="0"/>
      </w:pPr>
      <w:r>
        <w:rPr>
          <w:rFonts w:ascii="Arial" w:cs="Arial" w:eastAsia="Arial" w:hAnsi="Arial"/>
          <w:color w:val="1A1A1A"/>
          <w:sz w:val="19"/>
          <w:szCs w:val="19"/>
        </w:rPr>
        <w:t xml:space="preserve">•  Higher IgG levels to a food typically indicate you have been eating that food regularly — not that it is harming you.</w:t>
      </w:r>
    </w:p>
    <w:p>
      <w:pPr>
        <w:spacing w:after="60" w:before="0"/>
      </w:pPr>
      <w:r>
        <w:rPr>
          <w:rFonts w:ascii="Arial" w:cs="Arial" w:eastAsia="Arial" w:hAnsi="Arial"/>
          <w:color w:val="1A1A1A"/>
          <w:sz w:val="19"/>
          <w:szCs w:val="19"/>
        </w:rPr>
        <w:t xml:space="preserve">•  For IgG4 specifically, elevated levels are now understood to be a marker of immune tolerance — the opposite of intolerance.</w:t>
      </w:r>
    </w:p>
    <w:p>
      <w:pPr>
        <w:spacing w:after="60" w:before="0"/>
      </w:pPr>
      <w:r>
        <w:rPr>
          <w:rFonts w:ascii="Arial" w:cs="Arial" w:eastAsia="Arial" w:hAnsi="Arial"/>
          <w:color w:val="1A1A1A"/>
          <w:sz w:val="19"/>
          <w:szCs w:val="19"/>
        </w:rPr>
        <w:t xml:space="preserve">•  Studies in oral immunotherapy show that deliberately inducing tolerance to allergens raises IgG4 levels. This is the mechanism GEK Lab is measuring.</w:t>
      </w:r>
    </w:p>
    <w:p>
      <w:pPr>
        <w:spacing w:after="80" w:before="0"/>
      </w:pPr>
      <w:r>
        <w:t xml:space="preserve"/>
      </w:r>
    </w:p>
    <w:p>
      <w:pPr>
        <w:spacing w:after="100" w:before="280"/>
      </w:pPr>
      <w:r>
        <w:rPr>
          <w:rFonts w:ascii="Arial" w:cs="Arial" w:eastAsia="Arial" w:hAnsi="Arial"/>
          <w:b/>
          <w:bCs/>
          <w:color w:val="1A5E51"/>
          <w:sz w:val="24"/>
          <w:szCs w:val="24"/>
        </w:rPr>
        <w:t xml:space="preserve">The paradox this creates</w:t>
      </w:r>
    </w:p>
    <w:p>
      <w:pPr>
        <w:spacing w:after="100" w:before="40"/>
      </w:pPr>
      <w:r>
        <w:rPr>
          <w:rFonts w:ascii="Arial" w:cs="Arial" w:eastAsia="Arial" w:hAnsi="Arial"/>
          <w:color w:val="1A1A1A"/>
          <w:sz w:val="20"/>
          <w:szCs w:val="20"/>
        </w:rPr>
        <w:t xml:space="preserve">Patients who follow the IgG elimination protocol frequently report feeling better. But the mechanism is almost certainly not what the test implies:</w:t>
      </w:r>
    </w:p>
    <w:p>
      <w:pPr>
        <w:spacing w:after="60" w:before="0"/>
      </w:pPr>
      <w:r>
        <w:rPr>
          <w:rFonts w:ascii="Arial" w:cs="Arial" w:eastAsia="Arial" w:hAnsi="Arial"/>
          <w:color w:val="1A1A1A"/>
          <w:sz w:val="19"/>
          <w:szCs w:val="19"/>
        </w:rPr>
        <w:t xml:space="preserve">•  Eliminating 15–25 foods simultaneously will statistically remove the actual culprit by coincidence.</w:t>
      </w:r>
    </w:p>
    <w:p>
      <w:pPr>
        <w:spacing w:after="60" w:before="0"/>
      </w:pPr>
      <w:r>
        <w:rPr>
          <w:rFonts w:ascii="Arial" w:cs="Arial" w:eastAsia="Arial" w:hAnsi="Arial"/>
          <w:color w:val="1A1A1A"/>
          <w:sz w:val="19"/>
          <w:szCs w:val="19"/>
        </w:rPr>
        <w:t xml:space="preserve">•  Reduced dietary variety and caloric intake produce real improvements in metabolic markers.</w:t>
      </w:r>
    </w:p>
    <w:p>
      <w:pPr>
        <w:spacing w:after="60" w:before="0"/>
      </w:pPr>
      <w:r>
        <w:rPr>
          <w:rFonts w:ascii="Arial" w:cs="Arial" w:eastAsia="Arial" w:hAnsi="Arial"/>
          <w:color w:val="1A1A1A"/>
          <w:sz w:val="19"/>
          <w:szCs w:val="19"/>
        </w:rPr>
        <w:t xml:space="preserve">•  The placebo effect and increased dietary mindfulness are clinically significant in themselves.</w:t>
      </w:r>
    </w:p>
    <w:p>
      <w:pPr>
        <w:spacing w:after="60" w:before="0"/>
      </w:pPr>
      <w:r>
        <w:rPr>
          <w:rFonts w:ascii="Arial" w:cs="Arial" w:eastAsia="Arial" w:hAnsi="Arial"/>
          <w:color w:val="1A1A1A"/>
          <w:sz w:val="19"/>
          <w:szCs w:val="19"/>
        </w:rPr>
        <w:t xml:space="preserve">•  None of this validates the IgG mechanism — it explains why the protocol works without that mechanism being correct.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800" w:sz="4"/>
              <w:left w:val="single" w:color="8B5800" w:sz="20"/>
              <w:bottom w:val="single" w:color="8B5800" w:sz="4"/>
              <w:right w:val="single" w:color="8B5800" w:sz="4"/>
            </w:tcBorders>
            <w:shd w:fill="FDF6E3" w:val="clear"/>
            <w:tcMar>
              <w:top w:type="dxa" w:w="120"/>
              <w:left w:type="dxa" w:w="200"/>
              <w:bottom w:type="dxa" w:w="120"/>
              <w:right w:type="dxa" w:w="200"/>
            </w:tcMar>
          </w:tcPr>
          <w:p>
            <w:pPr>
              <w:spacing w:after="80" w:before="0"/>
            </w:pPr>
            <w:r>
              <w:rPr>
                <w:rFonts w:ascii="Arial" w:cs="Arial" w:eastAsia="Arial" w:hAnsi="Arial"/>
                <w:b/>
                <w:bCs/>
                <w:color w:val="8B5800"/>
                <w:sz w:val="18"/>
                <w:szCs w:val="18"/>
              </w:rPr>
              <w:t xml:space="preserve">⚠  The most uncomfortable implication</w:t>
            </w:r>
          </w:p>
          <w:p>
            <w:pPr>
              <w:spacing w:after="40" w:before="0"/>
            </w:pPr>
            <w:r>
              <w:rPr>
                <w:rFonts w:ascii="Arial" w:cs="Arial" w:eastAsia="Arial" w:hAnsi="Arial"/>
                <w:color w:val="1A1A1A"/>
                <w:sz w:val="18"/>
                <w:szCs w:val="18"/>
              </w:rPr>
              <w:t xml:space="preserve">If IgG measures food exposure rather than food sensitivity, then the foods flagged on GEK Lab’s report are simply the foods the patient eats most often.</w:t>
            </w:r>
          </w:p>
          <w:p>
            <w:pPr>
              <w:spacing w:after="40" w:before="0"/>
            </w:pPr>
            <w:r>
              <w:rPr>
                <w:rFonts w:ascii="Arial" w:cs="Arial" w:eastAsia="Arial" w:hAnsi="Arial"/>
                <w:color w:val="1A1A1A"/>
                <w:sz w:val="18"/>
                <w:szCs w:val="18"/>
              </w:rPr>
              <w:t xml:space="preserve">The foods told to avoid are the patient’s dietary staples — which is why elimination produces change.</w:t>
            </w:r>
          </w:p>
          <w:p>
            <w:pPr>
              <w:spacing w:after="40" w:before="0"/>
            </w:pPr>
            <w:r>
              <w:rPr>
                <w:rFonts w:ascii="Arial" w:cs="Arial" w:eastAsia="Arial" w:hAnsi="Arial"/>
                <w:color w:val="1A1A1A"/>
                <w:sz w:val="18"/>
                <w:szCs w:val="18"/>
              </w:rPr>
              <w:t xml:space="preserve">This does not mean the protocol is harmful. It means the scientific explanation GEK Lab provides may not be the correct one.</w:t>
            </w:r>
          </w:p>
        </w:tc>
      </w:tr>
    </w:tbl>
    <w:p>
      <w:pPr>
        <w:spacing w:after="80" w:before="0"/>
      </w:pPr>
      <w:r>
        <w:t xml:space="preserve"/>
      </w:r>
    </w:p>
    <w:p>
      <w:r>
        <w:br w:type="page"/>
      </w:r>
    </w:p>
    <w:p>
      <w:pPr>
        <w:pBdr>
          <w:bottom w:val="single" w:color="1A5E51" w:sz="8" w:space="6"/>
        </w:pBdr>
        <w:spacing w:after="160" w:before="400"/>
      </w:pPr>
      <w:r>
        <w:rPr>
          <w:rFonts w:ascii="Arial" w:cs="Arial" w:eastAsia="Arial" w:hAnsi="Arial"/>
          <w:b/>
          <w:bCs/>
          <w:color w:val="1A2A3A"/>
          <w:sz w:val="32"/>
          <w:szCs w:val="32"/>
        </w:rPr>
        <w:t xml:space="preserve">3. What Happens to the PerMè Report Without IgG</w:t>
      </w:r>
    </w:p>
    <w:p>
      <w:pPr>
        <w:spacing w:after="100" w:before="40"/>
      </w:pPr>
      <w:r>
        <w:rPr>
          <w:rFonts w:ascii="Arial" w:cs="Arial" w:eastAsia="Arial" w:hAnsi="Arial"/>
          <w:color w:val="1A1A1A"/>
          <w:sz w:val="20"/>
          <w:szCs w:val="20"/>
        </w:rPr>
        <w:t xml:space="preserve">The IgG component is not one section among many in the PerMè report. It is the engine of the entire dietary protocol. Removing it does not weaken the report — it transforms it into a fundamentally different product.</w:t>
      </w:r>
    </w:p>
    <w:p>
      <w:pPr>
        <w:spacing w:after="80" w:before="0"/>
      </w:pPr>
      <w:r>
        <w:t xml:space="preserve"/>
      </w:r>
    </w:p>
    <w:p>
      <w:pPr>
        <w:spacing w:after="100" w:before="280"/>
      </w:pPr>
      <w:r>
        <w:rPr>
          <w:rFonts w:ascii="Arial" w:cs="Arial" w:eastAsia="Arial" w:hAnsi="Arial"/>
          <w:b/>
          <w:bCs/>
          <w:color w:val="1A5E51"/>
          <w:sz w:val="24"/>
          <w:szCs w:val="24"/>
        </w:rPr>
        <w:t xml:space="preserve">What IgG drives in the current 34-page report</w:t>
      </w:r>
    </w:p>
    <w:p>
      <w:pPr>
        <w:spacing w:after="60" w:before="0"/>
      </w:pPr>
      <w:r>
        <w:rPr>
          <w:rFonts w:ascii="Arial" w:cs="Arial" w:eastAsia="Arial" w:hAnsi="Arial"/>
          <w:color w:val="1A1A1A"/>
          <w:sz w:val="19"/>
          <w:szCs w:val="19"/>
        </w:rPr>
        <w:t xml:space="preserve">•  The specific food elimination list (wheat, gluten, fermented foods, nickel-rich vegetables)</w:t>
      </w:r>
    </w:p>
    <w:p>
      <w:pPr>
        <w:spacing w:after="60" w:before="0"/>
      </w:pPr>
      <w:r>
        <w:rPr>
          <w:rFonts w:ascii="Arial" w:cs="Arial" w:eastAsia="Arial" w:hAnsi="Arial"/>
          <w:color w:val="1A1A1A"/>
          <w:sz w:val="19"/>
          <w:szCs w:val="19"/>
        </w:rPr>
        <w:t xml:space="preserve">•  The three-tier food classification system (avoid / control / free)</w:t>
      </w:r>
    </w:p>
    <w:p>
      <w:pPr>
        <w:spacing w:after="60" w:before="0"/>
      </w:pPr>
      <w:r>
        <w:rPr>
          <w:rFonts w:ascii="Arial" w:cs="Arial" w:eastAsia="Arial" w:hAnsi="Arial"/>
          <w:color w:val="1A1A1A"/>
          <w:sz w:val="19"/>
          <w:szCs w:val="19"/>
        </w:rPr>
        <w:t xml:space="preserve">•  The rotation diet structure and weekly meal planning framework</w:t>
      </w:r>
    </w:p>
    <w:p>
      <w:pPr>
        <w:spacing w:after="60" w:before="0"/>
      </w:pPr>
      <w:r>
        <w:rPr>
          <w:rFonts w:ascii="Arial" w:cs="Arial" w:eastAsia="Arial" w:hAnsi="Arial"/>
          <w:color w:val="1A1A1A"/>
          <w:sz w:val="19"/>
          <w:szCs w:val="19"/>
        </w:rPr>
        <w:t xml:space="preserve">•  The 8-week protocol timeline and reintroduction sequence</w:t>
      </w:r>
    </w:p>
    <w:p>
      <w:pPr>
        <w:spacing w:after="60" w:before="0"/>
      </w:pPr>
      <w:r>
        <w:rPr>
          <w:rFonts w:ascii="Arial" w:cs="Arial" w:eastAsia="Arial" w:hAnsi="Arial"/>
          <w:color w:val="1A1A1A"/>
          <w:sz w:val="19"/>
          <w:szCs w:val="19"/>
        </w:rPr>
        <w:t xml:space="preserve">•  The personalised shopping guide and substitute food recommendations</w:t>
      </w:r>
    </w:p>
    <w:p>
      <w:pPr>
        <w:spacing w:after="60" w:before="0"/>
      </w:pPr>
      <w:r>
        <w:rPr>
          <w:rFonts w:ascii="Arial" w:cs="Arial" w:eastAsia="Arial" w:hAnsi="Arial"/>
          <w:color w:val="1A1A1A"/>
          <w:sz w:val="19"/>
          <w:szCs w:val="19"/>
        </w:rPr>
        <w:t xml:space="preserve">•  Roughly 60–70% of the actionable content in the report</w:t>
      </w:r>
    </w:p>
    <w:p>
      <w:pPr>
        <w:spacing w:after="80" w:before="0"/>
      </w:pPr>
      <w:r>
        <w:t xml:space="preserve"/>
      </w:r>
    </w:p>
    <w:p>
      <w:pPr>
        <w:spacing w:after="100" w:before="280"/>
      </w:pPr>
      <w:r>
        <w:rPr>
          <w:rFonts w:ascii="Arial" w:cs="Arial" w:eastAsia="Arial" w:hAnsi="Arial"/>
          <w:b/>
          <w:bCs/>
          <w:color w:val="1A5E51"/>
          <w:sz w:val="24"/>
          <w:szCs w:val="24"/>
        </w:rPr>
        <w:t xml:space="preserve">What survives without IgG</w:t>
      </w:r>
    </w:p>
    <w:p>
      <w:pPr>
        <w:spacing w:after="60" w:before="0"/>
      </w:pPr>
      <w:r>
        <w:rPr>
          <w:rFonts w:ascii="Arial" w:cs="Arial" w:eastAsia="Arial" w:hAnsi="Arial"/>
          <w:color w:val="1A1A1A"/>
          <w:sz w:val="19"/>
          <w:szCs w:val="19"/>
        </w:rPr>
        <w:t xml:space="preserve">•  Genetic liver disease risk (PNPLA3 homozygous — strong, validated science)</w:t>
      </w:r>
    </w:p>
    <w:p>
      <w:pPr>
        <w:spacing w:after="60" w:before="0"/>
      </w:pPr>
      <w:r>
        <w:rPr>
          <w:rFonts w:ascii="Arial" w:cs="Arial" w:eastAsia="Arial" w:hAnsi="Arial"/>
          <w:color w:val="1A1A1A"/>
          <w:sz w:val="19"/>
          <w:szCs w:val="19"/>
        </w:rPr>
        <w:t xml:space="preserve">•  Glycation monitoring (GA and MGO — legitimate metabolic markers)</w:t>
      </w:r>
    </w:p>
    <w:p>
      <w:pPr>
        <w:spacing w:after="60" w:before="0"/>
      </w:pPr>
      <w:r>
        <w:rPr>
          <w:rFonts w:ascii="Arial" w:cs="Arial" w:eastAsia="Arial" w:hAnsi="Arial"/>
          <w:color w:val="1A1A1A"/>
          <w:sz w:val="19"/>
          <w:szCs w:val="19"/>
        </w:rPr>
        <w:t xml:space="preserve">•  BAFF cytokine as an inflammation indicator</w:t>
      </w:r>
    </w:p>
    <w:p>
      <w:pPr>
        <w:spacing w:after="60" w:before="0"/>
      </w:pPr>
      <w:r>
        <w:rPr>
          <w:rFonts w:ascii="Arial" w:cs="Arial" w:eastAsia="Arial" w:hAnsi="Arial"/>
          <w:color w:val="1A1A1A"/>
          <w:sz w:val="19"/>
          <w:szCs w:val="19"/>
        </w:rPr>
        <w:t xml:space="preserve">•  General lifestyle recommendation: reduce sugar, alcohol, refined carbohydrates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A00" w:sz="4"/>
              <w:left w:val="single" w:color="7B1A00" w:sz="20"/>
              <w:bottom w:val="single" w:color="7B1A00" w:sz="4"/>
              <w:right w:val="single" w:color="7B1A00" w:sz="4"/>
            </w:tcBorders>
            <w:shd w:fill="FDF0EC" w:val="clear"/>
            <w:tcMar>
              <w:top w:type="dxa" w:w="120"/>
              <w:left w:type="dxa" w:w="200"/>
              <w:bottom w:type="dxa" w:w="120"/>
              <w:right w:type="dxa" w:w="200"/>
            </w:tcMar>
          </w:tcPr>
          <w:p>
            <w:pPr>
              <w:spacing w:after="80" w:before="0"/>
            </w:pPr>
            <w:r>
              <w:rPr>
                <w:rFonts w:ascii="Arial" w:cs="Arial" w:eastAsia="Arial" w:hAnsi="Arial"/>
                <w:b/>
                <w:bCs/>
                <w:color w:val="7B1A00"/>
                <w:sz w:val="18"/>
                <w:szCs w:val="18"/>
              </w:rPr>
              <w:t xml:space="preserve">⛔  The honest verdict</w:t>
            </w:r>
          </w:p>
          <w:p>
            <w:pPr>
              <w:spacing w:after="40" w:before="0"/>
            </w:pPr>
            <w:r>
              <w:rPr>
                <w:rFonts w:ascii="Arial" w:cs="Arial" w:eastAsia="Arial" w:hAnsi="Arial"/>
                <w:color w:val="1A1A1A"/>
                <w:sz w:val="18"/>
                <w:szCs w:val="18"/>
              </w:rPr>
              <w:t xml:space="preserve">Without IgG, the remaining markers produce a meaningful but GENERIC health assessment.</w:t>
            </w:r>
          </w:p>
          <w:p>
            <w:pPr>
              <w:spacing w:after="40" w:before="0"/>
            </w:pPr>
            <w:r>
              <w:rPr>
                <w:rFonts w:ascii="Arial" w:cs="Arial" w:eastAsia="Arial" w:hAnsi="Arial"/>
                <w:color w:val="1A1A1A"/>
                <w:sz w:val="18"/>
                <w:szCs w:val="18"/>
              </w:rPr>
              <w:t xml:space="preserve">The recommendation becomes: “reduce sugar, alcohol and processed food” — indistinguishable from standard preventive health advice.</w:t>
            </w:r>
          </w:p>
          <w:p>
            <w:pPr>
              <w:spacing w:after="40" w:before="0"/>
            </w:pPr>
            <w:r>
              <w:rPr>
                <w:rFonts w:ascii="Arial" w:cs="Arial" w:eastAsia="Arial" w:hAnsi="Arial"/>
                <w:color w:val="1A1A1A"/>
                <w:sz w:val="18"/>
                <w:szCs w:val="18"/>
              </w:rPr>
              <w:t xml:space="preserve">This does not justify a €290–390 price point. The personalisation that makes the product distinctive is entirely IgG-derived.</w:t>
            </w:r>
          </w:p>
          <w:p>
            <w:pPr>
              <w:spacing w:after="40" w:before="0"/>
            </w:pPr>
            <w:r>
              <w:rPr>
                <w:rFonts w:ascii="Arial" w:cs="Arial" w:eastAsia="Arial" w:hAnsi="Arial"/>
                <w:color w:val="1A1A1A"/>
                <w:sz w:val="18"/>
                <w:szCs w:val="18"/>
              </w:rPr>
              <w:t xml:space="preserve">Without IgG, GEK Lab’s PerMè programme is a good genetic and metabolic risk panel — but so is Dante Labs, Thriva, and every other preventive health company.</w:t>
            </w:r>
          </w:p>
        </w:tc>
      </w:tr>
    </w:tbl>
    <w:p>
      <w:pPr>
        <w:spacing w:after="80" w:before="0"/>
      </w:pPr>
      <w:r>
        <w:t xml:space="preserve"/>
      </w:r>
    </w:p>
    <w:p>
      <w:r>
        <w:br w:type="page"/>
      </w:r>
    </w:p>
    <w:p>
      <w:pPr>
        <w:pBdr>
          <w:bottom w:val="single" w:color="1A5E51" w:sz="8" w:space="6"/>
        </w:pBdr>
        <w:spacing w:after="160" w:before="400"/>
      </w:pPr>
      <w:r>
        <w:rPr>
          <w:rFonts w:ascii="Arial" w:cs="Arial" w:eastAsia="Arial" w:hAnsi="Arial"/>
          <w:b/>
          <w:bCs/>
          <w:color w:val="1A2A3A"/>
          <w:sz w:val="32"/>
          <w:szCs w:val="32"/>
        </w:rPr>
        <w:t xml:space="preserve">4. The Component-by-Component Assessment</w:t>
      </w:r>
    </w:p>
    <w:p>
      <w:pPr>
        <w:spacing w:after="100" w:before="40"/>
      </w:pPr>
      <w:r>
        <w:rPr>
          <w:rFonts w:ascii="Arial" w:cs="Arial" w:eastAsia="Arial" w:hAnsi="Arial"/>
          <w:color w:val="1A1A1A"/>
          <w:sz w:val="20"/>
          <w:szCs w:val="20"/>
        </w:rPr>
        <w:t xml:space="preserve">Not all of GEK Lab’s methodology is equally exposed. The table below separates what is scientifically defensible from what is not, and assesses what survives independently.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1600"/>
        <w:gridCol w:w="2800"/>
      </w:tblGrid>
      <w:tr>
        <w:trPr>
          <w:tblHeader/>
        </w:trPr>
        <w:tc>
          <w:tcPr>
            <w:tcW w:type="dxa" w:w="2400"/>
            <w:tcBorders>
              <w:top w:val="single" w:color="1A5E51" w:sz="4"/>
              <w:left w:val="single" w:color="1A5E51" w:sz="4"/>
              <w:bottom w:val="single" w:color="1A5E51" w:sz="4"/>
              <w:right w:val="single" w:color="1A5E51" w:sz="4"/>
            </w:tcBorders>
            <w:shd w:fill="1A5E51" w:val="clear"/>
            <w:tcMar>
              <w:top w:type="dxa" w:w="80"/>
              <w:left w:type="dxa" w:w="140"/>
              <w:bottom w:type="dxa" w:w="80"/>
              <w:right w:type="dxa" w:w="140"/>
            </w:tcMar>
          </w:tcPr>
          <w:p>
            <w:r>
              <w:rPr>
                <w:rFonts w:ascii="Arial" w:cs="Arial" w:eastAsia="Arial" w:hAnsi="Arial"/>
                <w:b/>
                <w:bCs/>
                <w:color w:val="FFFFFF"/>
                <w:sz w:val="18"/>
                <w:szCs w:val="18"/>
              </w:rPr>
              <w:t xml:space="preserve">Component</w:t>
            </w:r>
          </w:p>
        </w:tc>
        <w:tc>
          <w:tcPr>
            <w:tcW w:type="dxa" w:w="2560"/>
            <w:tcBorders>
              <w:top w:val="single" w:color="1A5E51" w:sz="4"/>
              <w:left w:val="single" w:color="1A5E51" w:sz="4"/>
              <w:bottom w:val="single" w:color="1A5E51" w:sz="4"/>
              <w:right w:val="single" w:color="1A5E51" w:sz="4"/>
            </w:tcBorders>
            <w:shd w:fill="1A5E51" w:val="clear"/>
            <w:tcMar>
              <w:top w:type="dxa" w:w="80"/>
              <w:left w:type="dxa" w:w="140"/>
              <w:bottom w:type="dxa" w:w="80"/>
              <w:right w:type="dxa" w:w="140"/>
            </w:tcMar>
          </w:tcPr>
          <w:p>
            <w:r>
              <w:rPr>
                <w:rFonts w:ascii="Arial" w:cs="Arial" w:eastAsia="Arial" w:hAnsi="Arial"/>
                <w:b/>
                <w:bCs/>
                <w:color w:val="FFFFFF"/>
                <w:sz w:val="18"/>
                <w:szCs w:val="18"/>
              </w:rPr>
              <w:t xml:space="preserve">Scientific standing</w:t>
            </w:r>
          </w:p>
        </w:tc>
        <w:tc>
          <w:tcPr>
            <w:tcW w:type="dxa" w:w="1600"/>
            <w:tcBorders>
              <w:top w:val="single" w:color="1A5E51" w:sz="4"/>
              <w:left w:val="single" w:color="1A5E51" w:sz="4"/>
              <w:bottom w:val="single" w:color="1A5E51" w:sz="4"/>
              <w:right w:val="single" w:color="1A5E51" w:sz="4"/>
            </w:tcBorders>
            <w:shd w:fill="1A5E51" w:val="clear"/>
            <w:tcMar>
              <w:top w:type="dxa" w:w="80"/>
              <w:left w:type="dxa" w:w="140"/>
              <w:bottom w:type="dxa" w:w="80"/>
              <w:right w:type="dxa" w:w="140"/>
            </w:tcMar>
          </w:tcPr>
          <w:p>
            <w:r>
              <w:rPr>
                <w:rFonts w:ascii="Arial" w:cs="Arial" w:eastAsia="Arial" w:hAnsi="Arial"/>
                <w:b/>
                <w:bCs/>
                <w:color w:val="FFFFFF"/>
                <w:sz w:val="18"/>
                <w:szCs w:val="18"/>
              </w:rPr>
              <w:t xml:space="preserve">Standalone value</w:t>
            </w:r>
          </w:p>
        </w:tc>
        <w:tc>
          <w:tcPr>
            <w:tcW w:type="dxa" w:w="2800"/>
            <w:tcBorders>
              <w:top w:val="single" w:color="1A5E51" w:sz="4"/>
              <w:left w:val="single" w:color="1A5E51" w:sz="4"/>
              <w:bottom w:val="single" w:color="1A5E51" w:sz="4"/>
              <w:right w:val="single" w:color="1A5E51" w:sz="4"/>
            </w:tcBorders>
            <w:shd w:fill="1A5E51" w:val="clear"/>
            <w:tcMar>
              <w:top w:type="dxa" w:w="80"/>
              <w:left w:type="dxa" w:w="140"/>
              <w:bottom w:type="dxa" w:w="80"/>
              <w:right w:type="dxa" w:w="140"/>
            </w:tcMar>
          </w:tcPr>
          <w:p>
            <w:r>
              <w:rPr>
                <w:rFonts w:ascii="Arial" w:cs="Arial" w:eastAsia="Arial" w:hAnsi="Arial"/>
                <w:b/>
                <w:bCs/>
                <w:color w:val="FFFFFF"/>
                <w:sz w:val="18"/>
                <w:szCs w:val="18"/>
              </w:rPr>
              <w:t xml:space="preserve">What it drives</w:t>
            </w:r>
          </w:p>
        </w:tc>
      </w:tr>
      <w:tr>
        <w:tc>
          <w:tcPr>
            <w:tcW w:type="dxa" w:w="240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bCs/>
                <w:color w:val="1A1A1A"/>
                <w:sz w:val="18"/>
                <w:szCs w:val="18"/>
              </w:rPr>
              <w:t xml:space="preserve">PNPLA3 gene
(homozygous rs738409)</w:t>
            </w:r>
          </w:p>
        </w:tc>
        <w:tc>
          <w:tcPr>
            <w:tcW w:type="dxa" w:w="256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val="false"/>
                <w:bCs w:val="false"/>
                <w:color w:val="1A1A1A"/>
                <w:sz w:val="18"/>
                <w:szCs w:val="18"/>
              </w:rPr>
              <w:t xml:space="preserve">✅ Strong
Peer-reviewed, validated odds ratios. 3.4× MASLD risk, 4.4× MASH risk.</w:t>
            </w:r>
          </w:p>
        </w:tc>
        <w:tc>
          <w:tcPr>
            <w:tcW w:type="dxa" w:w="160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bCs/>
                <w:color w:val="1A5E30"/>
                <w:sz w:val="18"/>
                <w:szCs w:val="18"/>
              </w:rPr>
              <w:t xml:space="preserve">✅ High</w:t>
            </w:r>
          </w:p>
        </w:tc>
        <w:tc>
          <w:tcPr>
            <w:tcW w:type="dxa" w:w="280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val="false"/>
                <w:bCs w:val="false"/>
                <w:color w:val="1A1A1A"/>
                <w:sz w:val="18"/>
                <w:szCs w:val="18"/>
              </w:rPr>
              <w:t xml:space="preserve">Avoid alcohol (essential), monitor liver function, manage weight. Clinically actionable without any other test.</w:t>
            </w:r>
          </w:p>
        </w:tc>
      </w:tr>
      <w:tr>
        <w:tc>
          <w:tcPr>
            <w:tcW w:type="dxa" w:w="24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r>
              <w:rPr>
                <w:rFonts w:ascii="Arial" w:cs="Arial" w:eastAsia="Arial" w:hAnsi="Arial"/>
                <w:b/>
                <w:bCs/>
                <w:color w:val="1A1A1A"/>
                <w:sz w:val="18"/>
                <w:szCs w:val="18"/>
              </w:rPr>
              <w:t xml:space="preserve">Glycated Albumin (GA)</w:t>
            </w:r>
          </w:p>
        </w:tc>
        <w:tc>
          <w:tcPr>
            <w:tcW w:type="dxa" w:w="256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r>
              <w:rPr>
                <w:rFonts w:ascii="Arial" w:cs="Arial" w:eastAsia="Arial" w:hAnsi="Arial"/>
                <w:b w:val="false"/>
                <w:bCs w:val="false"/>
                <w:color w:val="1A1A1A"/>
                <w:sz w:val="18"/>
                <w:szCs w:val="18"/>
              </w:rPr>
              <w:t xml:space="preserve">✅ Legitimate
Detects glycation patterns HbA1c misses at early stages.</w:t>
            </w:r>
          </w:p>
        </w:tc>
        <w:tc>
          <w:tcPr>
            <w:tcW w:type="dxa" w:w="16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r>
              <w:rPr>
                <w:rFonts w:ascii="Arial" w:cs="Arial" w:eastAsia="Arial" w:hAnsi="Arial"/>
                <w:b/>
                <w:bCs/>
                <w:color w:val="1A5E30"/>
                <w:sz w:val="18"/>
                <w:szCs w:val="18"/>
              </w:rPr>
              <w:t xml:space="preserve">✅ High</w:t>
            </w:r>
          </w:p>
        </w:tc>
        <w:tc>
          <w:tcPr>
            <w:tcW w:type="dxa" w:w="28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r>
              <w:rPr>
                <w:rFonts w:ascii="Arial" w:cs="Arial" w:eastAsia="Arial" w:hAnsi="Arial"/>
                <w:b w:val="false"/>
                <w:bCs w:val="false"/>
                <w:color w:val="1A1A1A"/>
                <w:sz w:val="18"/>
                <w:szCs w:val="18"/>
              </w:rPr>
              <w:t xml:space="preserve">Reduce sugar, refined carbs, alcohol. Monitor metabolic trajectory quarterly.</w:t>
            </w:r>
          </w:p>
        </w:tc>
      </w:tr>
      <w:tr>
        <w:tc>
          <w:tcPr>
            <w:tcW w:type="dxa" w:w="240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bCs/>
                <w:color w:val="1A1A1A"/>
                <w:sz w:val="18"/>
                <w:szCs w:val="18"/>
              </w:rPr>
              <w:t xml:space="preserve">Methylglyoxal (MGO)</w:t>
            </w:r>
          </w:p>
        </w:tc>
        <w:tc>
          <w:tcPr>
            <w:tcW w:type="dxa" w:w="256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val="false"/>
                <w:bCs w:val="false"/>
                <w:color w:val="1A1A1A"/>
                <w:sz w:val="18"/>
                <w:szCs w:val="18"/>
              </w:rPr>
              <w:t xml:space="preserve">✅ Emerging
Real glycation load marker. Less established than GA.</w:t>
            </w:r>
          </w:p>
        </w:tc>
        <w:tc>
          <w:tcPr>
            <w:tcW w:type="dxa" w:w="160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bCs/>
                <w:color w:val="8B5800"/>
                <w:sz w:val="18"/>
                <w:szCs w:val="18"/>
              </w:rPr>
              <w:t xml:space="preserve">⚠ Moderate</w:t>
            </w:r>
          </w:p>
        </w:tc>
        <w:tc>
          <w:tcPr>
            <w:tcW w:type="dxa" w:w="280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val="false"/>
                <w:bCs w:val="false"/>
                <w:color w:val="1A1A1A"/>
                <w:sz w:val="18"/>
                <w:szCs w:val="18"/>
              </w:rPr>
              <w:t xml:space="preserve">Supports the glycation narrative. Strengthens the metabolic monitoring proposition.</w:t>
            </w:r>
          </w:p>
        </w:tc>
      </w:tr>
      <w:tr>
        <w:tc>
          <w:tcPr>
            <w:tcW w:type="dxa" w:w="24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r>
              <w:rPr>
                <w:rFonts w:ascii="Arial" w:cs="Arial" w:eastAsia="Arial" w:hAnsi="Arial"/>
                <w:b/>
                <w:bCs/>
                <w:color w:val="1A1A1A"/>
                <w:sz w:val="18"/>
                <w:szCs w:val="18"/>
              </w:rPr>
              <w:t xml:space="preserve">BAFF cytokine</w:t>
            </w:r>
          </w:p>
        </w:tc>
        <w:tc>
          <w:tcPr>
            <w:tcW w:type="dxa" w:w="256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r>
              <w:rPr>
                <w:rFonts w:ascii="Arial" w:cs="Arial" w:eastAsia="Arial" w:hAnsi="Arial"/>
                <w:b w:val="false"/>
                <w:bCs w:val="false"/>
                <w:color w:val="1A1A1A"/>
                <w:sz w:val="18"/>
                <w:szCs w:val="18"/>
              </w:rPr>
              <w:t xml:space="preserve">⚠ Partial
Legitimate inflammation marker. The attribution to food repetition specifically is disputed.</w:t>
            </w:r>
          </w:p>
        </w:tc>
        <w:tc>
          <w:tcPr>
            <w:tcW w:type="dxa" w:w="16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r>
              <w:rPr>
                <w:rFonts w:ascii="Arial" w:cs="Arial" w:eastAsia="Arial" w:hAnsi="Arial"/>
                <w:b/>
                <w:bCs/>
                <w:color w:val="8B5800"/>
                <w:sz w:val="18"/>
                <w:szCs w:val="18"/>
              </w:rPr>
              <w:t xml:space="preserve">⚠ Moderate</w:t>
            </w:r>
          </w:p>
        </w:tc>
        <w:tc>
          <w:tcPr>
            <w:tcW w:type="dxa" w:w="28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r>
              <w:rPr>
                <w:rFonts w:ascii="Arial" w:cs="Arial" w:eastAsia="Arial" w:hAnsi="Arial"/>
                <w:b w:val="false"/>
                <w:bCs w:val="false"/>
                <w:color w:val="1A1A1A"/>
                <w:sz w:val="18"/>
                <w:szCs w:val="18"/>
              </w:rPr>
              <w:t xml:space="preserve">Broad anti-inflammatory lifestyle recommendation. Loses specificity without IgG to link it to particular foods.</w:t>
            </w:r>
          </w:p>
        </w:tc>
      </w:tr>
      <w:tr>
        <w:tc>
          <w:tcPr>
            <w:tcW w:type="dxa" w:w="240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bCs/>
                <w:color w:val="7B1A00"/>
                <w:sz w:val="18"/>
                <w:szCs w:val="18"/>
              </w:rPr>
              <w:t xml:space="preserve">IgG food groups
(wheat, yeast, nickel)</w:t>
            </w:r>
          </w:p>
        </w:tc>
        <w:tc>
          <w:tcPr>
            <w:tcW w:type="dxa" w:w="256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val="false"/>
                <w:bCs w:val="false"/>
                <w:color w:val="7B1A00"/>
                <w:sz w:val="18"/>
                <w:szCs w:val="18"/>
              </w:rPr>
              <w:t xml:space="preserve">⛔ Rejected
All major bodies: measures normal immune exposure, not intolerance. 2023 EAACI: strong recommendation against.</w:t>
            </w:r>
          </w:p>
        </w:tc>
        <w:tc>
          <w:tcPr>
            <w:tcW w:type="dxa" w:w="160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bCs/>
                <w:color w:val="7B1A00"/>
                <w:sz w:val="18"/>
                <w:szCs w:val="18"/>
              </w:rPr>
              <w:t xml:space="preserve">⛔ Core risk</w:t>
            </w:r>
          </w:p>
        </w:tc>
        <w:tc>
          <w:tcPr>
            <w:tcW w:type="dxa" w:w="280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val="false"/>
                <w:bCs w:val="false"/>
                <w:color w:val="7B1A00"/>
                <w:sz w:val="18"/>
                <w:szCs w:val="18"/>
              </w:rPr>
              <w:t xml:space="preserve">Drives the entire specific dietary elimination protocol. Without it, no personalised food lists, no rotation diet, no 34-page programme.</w:t>
            </w:r>
          </w:p>
        </w:tc>
      </w:tr>
    </w:tbl>
    <w:p>
      <w:pPr>
        <w:spacing w:after="80" w:before="0"/>
      </w:pPr>
      <w:r>
        <w:t xml:space="preserve"/>
      </w:r>
    </w:p>
    <w:p>
      <w:pPr>
        <w:spacing w:after="100" w:before="280"/>
      </w:pPr>
      <w:r>
        <w:rPr>
          <w:rFonts w:ascii="Arial" w:cs="Arial" w:eastAsia="Arial" w:hAnsi="Arial"/>
          <w:b/>
          <w:bCs/>
          <w:color w:val="1A5E51"/>
          <w:sz w:val="24"/>
          <w:szCs w:val="24"/>
        </w:rPr>
        <w:t xml:space="preserve">The structural dependency</w:t>
      </w:r>
    </w:p>
    <w:p>
      <w:pPr>
        <w:spacing w:after="100" w:before="40"/>
      </w:pPr>
      <w:r>
        <w:rPr>
          <w:rFonts w:ascii="Arial" w:cs="Arial" w:eastAsia="Arial" w:hAnsi="Arial"/>
          <w:color w:val="1A1A1A"/>
          <w:sz w:val="20"/>
          <w:szCs w:val="20"/>
        </w:rPr>
        <w:t xml:space="preserve">The genetic and glycation components are scientifically sound but generate generic recommendations. The IgG component is scientifically contested but generates the entire personalised protocol. The product’s commercial value and the scientific risk both live in the same place.</w:t>
      </w:r>
    </w:p>
    <w:p>
      <w:pPr>
        <w:spacing w:after="80" w:before="0"/>
      </w:pPr>
      <w:r>
        <w:t xml:space="preserve"/>
      </w:r>
    </w:p>
    <w:p>
      <w:r>
        <w:br w:type="page"/>
      </w:r>
    </w:p>
    <w:p>
      <w:pPr>
        <w:pBdr>
          <w:bottom w:val="single" w:color="1A5E51" w:sz="8" w:space="6"/>
        </w:pBdr>
        <w:spacing w:after="160" w:before="400"/>
      </w:pPr>
      <w:r>
        <w:rPr>
          <w:rFonts w:ascii="Arial" w:cs="Arial" w:eastAsia="Arial" w:hAnsi="Arial"/>
          <w:b/>
          <w:bCs/>
          <w:color w:val="1A2A3A"/>
          <w:sz w:val="32"/>
          <w:szCs w:val="32"/>
        </w:rPr>
        <w:t xml:space="preserve">5. Risk Scenarios and Probability</w:t>
      </w:r>
    </w:p>
    <w:p>
      <w:pPr>
        <w:spacing w:after="100" w:before="40"/>
      </w:pPr>
      <w:r>
        <w:rPr>
          <w:rFonts w:ascii="Arial" w:cs="Arial" w:eastAsia="Arial" w:hAnsi="Arial"/>
          <w:color w:val="1A1A1A"/>
          <w:sz w:val="20"/>
          <w:szCs w:val="20"/>
        </w:rPr>
        <w:t xml:space="preserve">The risk is not binary. The question is not whether IgG testing will be banned tomorrow — it will not be. The question is which of the following scenarios plays out over a 4-year venture horizon.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560"/>
        <w:gridCol w:w="3000"/>
      </w:tblGrid>
      <w:tr>
        <w:trPr>
          <w:tblHeader/>
        </w:trPr>
        <w:tc>
          <w:tcPr>
            <w:tcW w:type="dxa" w:w="2200"/>
            <w:tcBorders>
              <w:top w:val="single" w:color="1A5E51" w:sz="4"/>
              <w:left w:val="single" w:color="1A5E51" w:sz="4"/>
              <w:bottom w:val="single" w:color="1A5E51" w:sz="4"/>
              <w:right w:val="single" w:color="1A5E51" w:sz="4"/>
            </w:tcBorders>
            <w:shd w:fill="1A5E51" w:val="clear"/>
            <w:tcMar>
              <w:top w:type="dxa" w:w="80"/>
              <w:left w:type="dxa" w:w="140"/>
              <w:bottom w:type="dxa" w:w="80"/>
              <w:right w:type="dxa" w:w="140"/>
            </w:tcMar>
          </w:tcPr>
          <w:p>
            <w:r>
              <w:rPr>
                <w:rFonts w:ascii="Arial" w:cs="Arial" w:eastAsia="Arial" w:hAnsi="Arial"/>
                <w:b/>
                <w:bCs/>
                <w:color w:val="FFFFFF"/>
                <w:sz w:val="18"/>
                <w:szCs w:val="18"/>
              </w:rPr>
              <w:t xml:space="preserve">Scenario</w:t>
            </w:r>
          </w:p>
        </w:tc>
        <w:tc>
          <w:tcPr>
            <w:tcW w:type="dxa" w:w="1600"/>
            <w:tcBorders>
              <w:top w:val="single" w:color="1A5E51" w:sz="4"/>
              <w:left w:val="single" w:color="1A5E51" w:sz="4"/>
              <w:bottom w:val="single" w:color="1A5E51" w:sz="4"/>
              <w:right w:val="single" w:color="1A5E51" w:sz="4"/>
            </w:tcBorders>
            <w:shd w:fill="1A5E51" w:val="clear"/>
            <w:tcMar>
              <w:top w:type="dxa" w:w="80"/>
              <w:left w:type="dxa" w:w="140"/>
              <w:bottom w:type="dxa" w:w="80"/>
              <w:right w:type="dxa" w:w="140"/>
            </w:tcMar>
          </w:tcPr>
          <w:p>
            <w:r>
              <w:rPr>
                <w:rFonts w:ascii="Arial" w:cs="Arial" w:eastAsia="Arial" w:hAnsi="Arial"/>
                <w:b/>
                <w:bCs/>
                <w:color w:val="FFFFFF"/>
                <w:sz w:val="18"/>
                <w:szCs w:val="18"/>
              </w:rPr>
              <w:t xml:space="preserve">Probability</w:t>
            </w:r>
          </w:p>
        </w:tc>
        <w:tc>
          <w:tcPr>
            <w:tcW w:type="dxa" w:w="2560"/>
            <w:tcBorders>
              <w:top w:val="single" w:color="1A5E51" w:sz="4"/>
              <w:left w:val="single" w:color="1A5E51" w:sz="4"/>
              <w:bottom w:val="single" w:color="1A5E51" w:sz="4"/>
              <w:right w:val="single" w:color="1A5E51" w:sz="4"/>
            </w:tcBorders>
            <w:shd w:fill="1A5E51" w:val="clear"/>
            <w:tcMar>
              <w:top w:type="dxa" w:w="80"/>
              <w:left w:type="dxa" w:w="140"/>
              <w:bottom w:type="dxa" w:w="80"/>
              <w:right w:type="dxa" w:w="140"/>
            </w:tcMar>
          </w:tcPr>
          <w:p>
            <w:r>
              <w:rPr>
                <w:rFonts w:ascii="Arial" w:cs="Arial" w:eastAsia="Arial" w:hAnsi="Arial"/>
                <w:b/>
                <w:bCs/>
                <w:color w:val="FFFFFF"/>
                <w:sz w:val="18"/>
                <w:szCs w:val="18"/>
              </w:rPr>
              <w:t xml:space="preserve">Trigger</w:t>
            </w:r>
          </w:p>
        </w:tc>
        <w:tc>
          <w:tcPr>
            <w:tcW w:type="dxa" w:w="3000"/>
            <w:tcBorders>
              <w:top w:val="single" w:color="1A5E51" w:sz="4"/>
              <w:left w:val="single" w:color="1A5E51" w:sz="4"/>
              <w:bottom w:val="single" w:color="1A5E51" w:sz="4"/>
              <w:right w:val="single" w:color="1A5E51" w:sz="4"/>
            </w:tcBorders>
            <w:shd w:fill="1A5E51" w:val="clear"/>
            <w:tcMar>
              <w:top w:type="dxa" w:w="80"/>
              <w:left w:type="dxa" w:w="140"/>
              <w:bottom w:type="dxa" w:w="80"/>
              <w:right w:type="dxa" w:w="140"/>
            </w:tcMar>
          </w:tcPr>
          <w:p>
            <w:r>
              <w:rPr>
                <w:rFonts w:ascii="Arial" w:cs="Arial" w:eastAsia="Arial" w:hAnsi="Arial"/>
                <w:b/>
                <w:bCs/>
                <w:color w:val="FFFFFF"/>
                <w:sz w:val="18"/>
                <w:szCs w:val="18"/>
              </w:rPr>
              <w:t xml:space="preserve">Consequence for venture</w:t>
            </w:r>
          </w:p>
        </w:tc>
      </w:tr>
      <w:tr>
        <w:tc>
          <w:tcPr>
            <w:tcW w:type="dxa" w:w="220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bCs/>
                <w:color w:val="1A1A1A"/>
                <w:sz w:val="18"/>
                <w:szCs w:val="18"/>
              </w:rPr>
              <w:t xml:space="preserve">Status quo continues</w:t>
            </w:r>
          </w:p>
        </w:tc>
        <w:tc>
          <w:tcPr>
            <w:tcW w:type="dxa" w:w="160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bCs/>
                <w:color w:val="1A5E30"/>
                <w:sz w:val="18"/>
                <w:szCs w:val="18"/>
              </w:rPr>
              <w:t xml:space="preserve">~60%</w:t>
            </w:r>
          </w:p>
        </w:tc>
        <w:tc>
          <w:tcPr>
            <w:tcW w:type="dxa" w:w="256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val="false"/>
                <w:bCs w:val="false"/>
                <w:color w:val="1A1A1A"/>
                <w:sz w:val="18"/>
                <w:szCs w:val="18"/>
              </w:rPr>
              <w:t xml:space="preserve">Scientific consensus remains where it is. No formal regulatory action in Italy or EU.</w:t>
            </w:r>
          </w:p>
        </w:tc>
        <w:tc>
          <w:tcPr>
            <w:tcW w:type="dxa" w:w="300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val="false"/>
                <w:bCs w:val="false"/>
                <w:color w:val="1A1A1A"/>
                <w:sz w:val="18"/>
                <w:szCs w:val="18"/>
              </w:rPr>
              <w:t xml:space="preserve">Venture operates in a permanent grey zone. Commercially viable but structurally fragile. Science risk is a known liability, not an active threat.</w:t>
            </w:r>
          </w:p>
        </w:tc>
      </w:tr>
      <w:tr>
        <w:tc>
          <w:tcPr>
            <w:tcW w:type="dxa" w:w="22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r>
              <w:rPr>
                <w:rFonts w:ascii="Arial" w:cs="Arial" w:eastAsia="Arial" w:hAnsi="Arial"/>
                <w:b/>
                <w:bCs/>
                <w:color w:val="1A1A1A"/>
                <w:sz w:val="18"/>
                <w:szCs w:val="18"/>
              </w:rPr>
              <w:t xml:space="preserve">EU / Italian regulator issues formal warning</w:t>
            </w:r>
          </w:p>
        </w:tc>
        <w:tc>
          <w:tcPr>
            <w:tcW w:type="dxa" w:w="16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r>
              <w:rPr>
                <w:rFonts w:ascii="Arial" w:cs="Arial" w:eastAsia="Arial" w:hAnsi="Arial"/>
                <w:b/>
                <w:bCs/>
                <w:color w:val="8B5800"/>
                <w:sz w:val="18"/>
                <w:szCs w:val="18"/>
              </w:rPr>
              <w:t xml:space="preserve">~25%</w:t>
            </w:r>
          </w:p>
        </w:tc>
        <w:tc>
          <w:tcPr>
            <w:tcW w:type="dxa" w:w="256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r>
              <w:rPr>
                <w:rFonts w:ascii="Arial" w:cs="Arial" w:eastAsia="Arial" w:hAnsi="Arial"/>
                <w:b w:val="false"/>
                <w:bCs w:val="false"/>
                <w:color w:val="1A1A1A"/>
                <w:sz w:val="18"/>
                <w:szCs w:val="18"/>
              </w:rPr>
              <w:t xml:space="preserve">AIFA, NAS, or EU-level body issues guidance restricting IgG testing claims or requiring medical oversight.</w:t>
            </w:r>
          </w:p>
        </w:tc>
        <w:tc>
          <w:tcPr>
            <w:tcW w:type="dxa" w:w="30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r>
              <w:rPr>
                <w:rFonts w:ascii="Arial" w:cs="Arial" w:eastAsia="Arial" w:hAnsi="Arial"/>
                <w:b w:val="false"/>
                <w:bCs w:val="false"/>
                <w:color w:val="1A1A1A"/>
                <w:sz w:val="18"/>
                <w:szCs w:val="18"/>
              </w:rPr>
              <w:t xml:space="preserve">GEK Lab must restructure product claims. Disruption but not necessarily fatal. Platform survives if built on glycation / genetic layer.</w:t>
            </w:r>
          </w:p>
        </w:tc>
      </w:tr>
      <w:tr>
        <w:tc>
          <w:tcPr>
            <w:tcW w:type="dxa" w:w="220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bCs/>
                <w:color w:val="1A1A1A"/>
                <w:sz w:val="18"/>
                <w:szCs w:val="18"/>
              </w:rPr>
              <w:t xml:space="preserve">High-profile patient harm / press event</w:t>
            </w:r>
          </w:p>
        </w:tc>
        <w:tc>
          <w:tcPr>
            <w:tcW w:type="dxa" w:w="160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bCs/>
                <w:color w:val="7B1A00"/>
                <w:sz w:val="18"/>
                <w:szCs w:val="18"/>
              </w:rPr>
              <w:t xml:space="preserve">~10%</w:t>
            </w:r>
          </w:p>
        </w:tc>
        <w:tc>
          <w:tcPr>
            <w:tcW w:type="dxa" w:w="256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val="false"/>
                <w:bCs w:val="false"/>
                <w:color w:val="1A1A1A"/>
                <w:sz w:val="18"/>
                <w:szCs w:val="18"/>
              </w:rPr>
              <w:t xml:space="preserve">A serious adverse event linked to IgG-guided dietary restriction reaches national media.</w:t>
            </w:r>
          </w:p>
        </w:tc>
        <w:tc>
          <w:tcPr>
            <w:tcW w:type="dxa" w:w="3000"/>
            <w:tcBorders>
              <w:top w:val="single" w:color="CCCCAA" w:sz="4"/>
              <w:left w:val="single" w:color="CCCCAA" w:sz="4"/>
              <w:bottom w:val="single" w:color="CCCCAA" w:sz="4"/>
              <w:right w:val="single" w:color="CCCCAA" w:sz="4"/>
            </w:tcBorders>
            <w:tcMar>
              <w:top w:type="dxa" w:w="80"/>
              <w:left w:type="dxa" w:w="140"/>
              <w:bottom w:type="dxa" w:w="80"/>
              <w:right w:type="dxa" w:w="140"/>
            </w:tcMar>
          </w:tcPr>
          <w:p>
            <w:r>
              <w:rPr>
                <w:rFonts w:ascii="Arial" w:cs="Arial" w:eastAsia="Arial" w:hAnsi="Arial"/>
                <w:b w:val="false"/>
                <w:bCs w:val="false"/>
                <w:color w:val="1A1A1A"/>
                <w:sz w:val="18"/>
                <w:szCs w:val="18"/>
              </w:rPr>
              <w:t xml:space="preserve">Reputational damage moves faster than any regulatory process. Brand becomes unsellable regardless of legal status.</w:t>
            </w:r>
          </w:p>
        </w:tc>
      </w:tr>
      <w:tr>
        <w:tc>
          <w:tcPr>
            <w:tcW w:type="dxa" w:w="22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r>
              <w:rPr>
                <w:rFonts w:ascii="Arial" w:cs="Arial" w:eastAsia="Arial" w:hAnsi="Arial"/>
                <w:b/>
                <w:bCs/>
                <w:color w:val="1A1A1A"/>
                <w:sz w:val="18"/>
                <w:szCs w:val="18"/>
              </w:rPr>
              <w:t xml:space="preserve">Scientific rehabilitation</w:t>
            </w:r>
          </w:p>
        </w:tc>
        <w:tc>
          <w:tcPr>
            <w:tcW w:type="dxa" w:w="16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r>
              <w:rPr>
                <w:rFonts w:ascii="Arial" w:cs="Arial" w:eastAsia="Arial" w:hAnsi="Arial"/>
                <w:b/>
                <w:bCs/>
                <w:color w:val="1A5E51"/>
                <w:sz w:val="18"/>
                <w:szCs w:val="18"/>
              </w:rPr>
              <w:t xml:space="preserve">~5%</w:t>
            </w:r>
          </w:p>
        </w:tc>
        <w:tc>
          <w:tcPr>
            <w:tcW w:type="dxa" w:w="256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r>
              <w:rPr>
                <w:rFonts w:ascii="Arial" w:cs="Arial" w:eastAsia="Arial" w:hAnsi="Arial"/>
                <w:b w:val="false"/>
                <w:bCs w:val="false"/>
                <w:color w:val="1A1A1A"/>
                <w:sz w:val="18"/>
                <w:szCs w:val="18"/>
              </w:rPr>
              <w:t xml:space="preserve">High-quality RCT demonstrates clinical validity of IgG-guided dietary protocols in specific conditions.</w:t>
            </w:r>
          </w:p>
        </w:tc>
        <w:tc>
          <w:tcPr>
            <w:tcW w:type="dxa" w:w="30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r>
              <w:rPr>
                <w:rFonts w:ascii="Arial" w:cs="Arial" w:eastAsia="Arial" w:hAnsi="Arial"/>
                <w:b w:val="false"/>
                <w:bCs w:val="false"/>
                <w:color w:val="1A1A1A"/>
                <w:sz w:val="18"/>
                <w:szCs w:val="18"/>
              </w:rPr>
              <w:t xml:space="preserve">GEK Lab’s methodology becomes mainstream. Competitive pressure increases but scientific foundation strengthens.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51" w:sz="4"/>
              <w:left w:val="single" w:color="1A5E51" w:sz="20"/>
              <w:bottom w:val="single" w:color="1A5E51" w:sz="4"/>
              <w:right w:val="single" w:color="1A5E51" w:sz="4"/>
            </w:tcBorders>
            <w:shd w:fill="EBF4F1" w:val="clear"/>
            <w:tcMar>
              <w:top w:type="dxa" w:w="120"/>
              <w:left w:type="dxa" w:w="200"/>
              <w:bottom w:type="dxa" w:w="120"/>
              <w:right w:type="dxa" w:w="200"/>
            </w:tcMar>
          </w:tcPr>
          <w:p>
            <w:pPr>
              <w:spacing w:after="80" w:before="0"/>
            </w:pPr>
            <w:r>
              <w:rPr>
                <w:rFonts w:ascii="Arial" w:cs="Arial" w:eastAsia="Arial" w:hAnsi="Arial"/>
                <w:b/>
                <w:bCs/>
                <w:color w:val="1A5E51"/>
                <w:sz w:val="18"/>
                <w:szCs w:val="18"/>
              </w:rPr>
              <w:t xml:space="preserve">ℹ  What the scenario analysis tells you</w:t>
            </w:r>
          </w:p>
          <w:p>
            <w:pPr>
              <w:spacing w:after="40" w:before="0"/>
            </w:pPr>
            <w:r>
              <w:rPr>
                <w:rFonts w:ascii="Arial" w:cs="Arial" w:eastAsia="Arial" w:hAnsi="Arial"/>
                <w:color w:val="1A1A1A"/>
                <w:sz w:val="18"/>
                <w:szCs w:val="18"/>
              </w:rPr>
              <w:t xml:space="preserve">The most likely outcome (60%) is that nothing changes. GEK Lab continues to operate as it does today.</w:t>
            </w:r>
          </w:p>
          <w:p>
            <w:pPr>
              <w:spacing w:after="40" w:before="0"/>
            </w:pPr>
            <w:r>
              <w:rPr>
                <w:rFonts w:ascii="Arial" w:cs="Arial" w:eastAsia="Arial" w:hAnsi="Arial"/>
                <w:color w:val="1A1A1A"/>
                <w:sz w:val="18"/>
                <w:szCs w:val="18"/>
              </w:rPr>
              <w:t xml:space="preserve">The 25% regulatory scenario is manageable if the platform is built with a defensible scientific core.</w:t>
            </w:r>
          </w:p>
          <w:p>
            <w:pPr>
              <w:spacing w:after="40" w:before="0"/>
            </w:pPr>
            <w:r>
              <w:rPr>
                <w:rFonts w:ascii="Arial" w:cs="Arial" w:eastAsia="Arial" w:hAnsi="Arial"/>
                <w:color w:val="1A1A1A"/>
                <w:sz w:val="18"/>
                <w:szCs w:val="18"/>
              </w:rPr>
              <w:t xml:space="preserve">The 10% reputational scenario is the genuine tail risk — low probability, very high consequence.</w:t>
            </w:r>
          </w:p>
          <w:p>
            <w:pPr>
              <w:spacing w:after="40" w:before="0"/>
            </w:pPr>
            <w:r>
              <w:rPr>
                <w:rFonts w:ascii="Arial" w:cs="Arial" w:eastAsia="Arial" w:hAnsi="Arial"/>
                <w:color w:val="1A1A1A"/>
                <w:sz w:val="18"/>
                <w:szCs w:val="18"/>
              </w:rPr>
              <w:t xml:space="preserve">The answer to all three bad scenarios is the same: build the glycation and genetics layer so the platform can stand without IgG.</w:t>
            </w:r>
          </w:p>
        </w:tc>
      </w:tr>
    </w:tbl>
    <w:p>
      <w:pPr>
        <w:spacing w:after="80" w:before="0"/>
      </w:pPr>
      <w:r>
        <w:t xml:space="preserve"/>
      </w:r>
    </w:p>
    <w:p>
      <w:r>
        <w:br w:type="page"/>
      </w:r>
    </w:p>
    <w:p>
      <w:pPr>
        <w:pBdr>
          <w:bottom w:val="single" w:color="1A5E51" w:sz="8" w:space="6"/>
        </w:pBdr>
        <w:spacing w:after="160" w:before="400"/>
      </w:pPr>
      <w:r>
        <w:rPr>
          <w:rFonts w:ascii="Arial" w:cs="Arial" w:eastAsia="Arial" w:hAnsi="Arial"/>
          <w:b/>
          <w:bCs/>
          <w:color w:val="1A2A3A"/>
          <w:sz w:val="32"/>
          <w:szCs w:val="32"/>
        </w:rPr>
        <w:t xml:space="preserve">6. The Strategic Response — Three Paths</w:t>
      </w:r>
    </w:p>
    <w:p>
      <w:pPr>
        <w:spacing w:after="80" w:before="0"/>
      </w:pPr>
      <w:r>
        <w:t xml:space="preserve"/>
      </w:r>
    </w:p>
    <w:p>
      <w:pPr>
        <w:spacing w:after="100" w:before="280"/>
      </w:pPr>
      <w:r>
        <w:rPr>
          <w:rFonts w:ascii="Arial" w:cs="Arial" w:eastAsia="Arial" w:hAnsi="Arial"/>
          <w:b/>
          <w:bCs/>
          <w:color w:val="1A5E30"/>
          <w:sz w:val="24"/>
          <w:szCs w:val="24"/>
        </w:rPr>
        <w:t xml:space="preserve">Path 1 — Double down on glycation (most defensible)</w:t>
      </w:r>
    </w:p>
    <w:p>
      <w:pPr>
        <w:spacing w:after="100" w:before="40"/>
      </w:pPr>
      <w:r>
        <w:rPr>
          <w:rFonts w:ascii="Arial" w:cs="Arial" w:eastAsia="Arial" w:hAnsi="Arial"/>
          <w:color w:val="1A1A1A"/>
          <w:sz w:val="20"/>
          <w:szCs w:val="20"/>
        </w:rPr>
        <w:t xml:space="preserve">Build the platform’s scientific identity around glycation monitoring, metabolic health and genetic risk management. GA + MGO + PNPLA3 is a genuinely differentiated proposition in the preventive health space. Pre-diabetes and metabolic dysfunction affect an estimated 1 in 3 European adults.</w:t>
      </w:r>
    </w:p>
    <w:p>
      <w:pPr>
        <w:spacing w:after="60" w:before="0"/>
      </w:pPr>
      <w:r>
        <w:rPr>
          <w:rFonts w:ascii="Arial" w:cs="Arial" w:eastAsia="Arial" w:hAnsi="Arial"/>
          <w:color w:val="1A1A1A"/>
          <w:sz w:val="19"/>
          <w:szCs w:val="19"/>
        </w:rPr>
        <w:t xml:space="preserve">•  The food protocol simplifies to: reduce sugar, alcohol, refined carbs — monitored through quarterly GA retesting</w:t>
      </w:r>
    </w:p>
    <w:p>
      <w:pPr>
        <w:spacing w:after="60" w:before="0"/>
      </w:pPr>
      <w:r>
        <w:rPr>
          <w:rFonts w:ascii="Arial" w:cs="Arial" w:eastAsia="Arial" w:hAnsi="Arial"/>
          <w:color w:val="1A1A1A"/>
          <w:sz w:val="19"/>
          <w:szCs w:val="19"/>
        </w:rPr>
        <w:t xml:space="preserve">•  Less dramatic than the current 34-page programme, but scientifically bulletproof</w:t>
      </w:r>
    </w:p>
    <w:p>
      <w:pPr>
        <w:spacing w:after="60" w:before="0"/>
      </w:pPr>
      <w:r>
        <w:rPr>
          <w:rFonts w:ascii="Arial" w:cs="Arial" w:eastAsia="Arial" w:hAnsi="Arial"/>
          <w:color w:val="1A1A1A"/>
          <w:sz w:val="19"/>
          <w:szCs w:val="19"/>
        </w:rPr>
        <w:t xml:space="preserve">•  No competitor is doing glycation monitoring at consumer scale with a personalised digital protocol</w:t>
      </w:r>
    </w:p>
    <w:p>
      <w:pPr>
        <w:spacing w:after="60" w:before="0"/>
      </w:pPr>
      <w:r>
        <w:rPr>
          <w:rFonts w:ascii="Arial" w:cs="Arial" w:eastAsia="Arial" w:hAnsi="Arial"/>
          <w:color w:val="1A1A1A"/>
          <w:sz w:val="19"/>
          <w:szCs w:val="19"/>
        </w:rPr>
        <w:t xml:space="preserve">•  Quarterly retesting becomes the commercial engine — patient wants to see their GA improve over time</w:t>
      </w:r>
    </w:p>
    <w:p>
      <w:pPr>
        <w:spacing w:after="80" w:before="0"/>
      </w:pPr>
      <w:r>
        <w:t xml:space="preserve"/>
      </w:r>
    </w:p>
    <w:p>
      <w:pPr>
        <w:spacing w:after="100" w:before="280"/>
      </w:pPr>
      <w:r>
        <w:rPr>
          <w:rFonts w:ascii="Arial" w:cs="Arial" w:eastAsia="Arial" w:hAnsi="Arial"/>
          <w:b/>
          <w:bCs/>
          <w:color w:val="1A5E51"/>
          <w:sz w:val="24"/>
          <w:szCs w:val="24"/>
        </w:rPr>
        <w:t xml:space="preserve">Path 2 — Reframe IgG rather than remove it (pragmatic)</w:t>
      </w:r>
    </w:p>
    <w:p>
      <w:pPr>
        <w:spacing w:after="100" w:before="40"/>
      </w:pPr>
      <w:r>
        <w:rPr>
          <w:rFonts w:ascii="Arial" w:cs="Arial" w:eastAsia="Arial" w:hAnsi="Arial"/>
          <w:color w:val="1A1A1A"/>
          <w:sz w:val="20"/>
          <w:szCs w:val="20"/>
        </w:rPr>
        <w:t xml:space="preserve">Rather than presenting IgG as a diagnostic tool for food intolerance, reframe it as a dietary rotation guide. The claim becomes: “chronic repetition of the same foods drives immune activation and BAFF elevation — rotation reduces that load.” This is actually Dr. Speciani’s original thesis.</w:t>
      </w:r>
    </w:p>
    <w:p>
      <w:pPr>
        <w:spacing w:after="60" w:before="0"/>
      </w:pPr>
      <w:r>
        <w:rPr>
          <w:rFonts w:ascii="Arial" w:cs="Arial" w:eastAsia="Arial" w:hAnsi="Arial"/>
          <w:color w:val="1A1A1A"/>
          <w:sz w:val="19"/>
          <w:szCs w:val="19"/>
        </w:rPr>
        <w:t xml:space="preserve">•  This framing avoids the diagnostic claim entirely — it never says you are intolerant to wheat</w:t>
      </w:r>
    </w:p>
    <w:p>
      <w:pPr>
        <w:spacing w:after="60" w:before="0"/>
      </w:pPr>
      <w:r>
        <w:rPr>
          <w:rFonts w:ascii="Arial" w:cs="Arial" w:eastAsia="Arial" w:hAnsi="Arial"/>
          <w:color w:val="1A1A1A"/>
          <w:sz w:val="19"/>
          <w:szCs w:val="19"/>
        </w:rPr>
        <w:t xml:space="preserve">•  It repositions the test as a personalised food rotation tool, not an allergy diagnostic</w:t>
      </w:r>
    </w:p>
    <w:p>
      <w:pPr>
        <w:spacing w:after="60" w:before="0"/>
      </w:pPr>
      <w:r>
        <w:rPr>
          <w:rFonts w:ascii="Arial" w:cs="Arial" w:eastAsia="Arial" w:hAnsi="Arial"/>
          <w:color w:val="1A1A1A"/>
          <w:sz w:val="19"/>
          <w:szCs w:val="19"/>
        </w:rPr>
        <w:t xml:space="preserve">•  Substantially less legally and scientifically exposed than the current framing</w:t>
      </w:r>
    </w:p>
    <w:p>
      <w:pPr>
        <w:spacing w:after="60" w:before="0"/>
      </w:pPr>
      <w:r>
        <w:rPr>
          <w:rFonts w:ascii="Arial" w:cs="Arial" w:eastAsia="Arial" w:hAnsi="Arial"/>
          <w:color w:val="1A1A1A"/>
          <w:sz w:val="19"/>
          <w:szCs w:val="19"/>
        </w:rPr>
        <w:t xml:space="preserve">•  Dr. Speciani’s published work on BAFF and food repetition supports this framing directly</w:t>
      </w:r>
    </w:p>
    <w:p>
      <w:pPr>
        <w:spacing w:after="80" w:before="0"/>
      </w:pPr>
      <w:r>
        <w:t xml:space="preserve"/>
      </w:r>
    </w:p>
    <w:p>
      <w:pPr>
        <w:spacing w:after="100" w:before="280"/>
      </w:pPr>
      <w:r>
        <w:rPr>
          <w:rFonts w:ascii="Arial" w:cs="Arial" w:eastAsia="Arial" w:hAnsi="Arial"/>
          <w:b/>
          <w:bCs/>
          <w:color w:val="8B5800"/>
          <w:sz w:val="24"/>
          <w:szCs w:val="24"/>
        </w:rPr>
        <w:t xml:space="preserve">Path 3 — The hybrid approach (recommended)</w:t>
      </w:r>
    </w:p>
    <w:p>
      <w:pPr>
        <w:spacing w:after="100" w:before="40"/>
      </w:pPr>
      <w:r>
        <w:rPr>
          <w:rFonts w:ascii="Arial" w:cs="Arial" w:eastAsia="Arial" w:hAnsi="Arial"/>
          <w:color w:val="1A1A1A"/>
          <w:sz w:val="20"/>
          <w:szCs w:val="20"/>
        </w:rPr>
        <w:t xml:space="preserve">Use the current protocol as the engagement and commercial mechanism while quietly building the glycation and genetic monitoring layer as the platform’s scientific foundation.</w:t>
      </w:r>
    </w:p>
    <w:p>
      <w:pPr>
        <w:spacing w:after="60" w:before="0"/>
      </w:pPr>
      <w:r>
        <w:rPr>
          <w:rFonts w:ascii="Arial" w:cs="Arial" w:eastAsia="Arial" w:hAnsi="Arial"/>
          <w:color w:val="1A1A1A"/>
          <w:sz w:val="19"/>
          <w:szCs w:val="19"/>
        </w:rPr>
        <w:t xml:space="preserve">•  Launch with full current protocol — food lists, rotation diet, compliance tracking — commercial strength preserved</w:t>
      </w:r>
    </w:p>
    <w:p>
      <w:pPr>
        <w:spacing w:after="60" w:before="0"/>
      </w:pPr>
      <w:r>
        <w:rPr>
          <w:rFonts w:ascii="Arial" w:cs="Arial" w:eastAsia="Arial" w:hAnsi="Arial"/>
          <w:color w:val="1A1A1A"/>
          <w:sz w:val="19"/>
          <w:szCs w:val="19"/>
        </w:rPr>
        <w:t xml:space="preserve">•  Build the glycation tracking layer as the scientific spine of the retest narrative</w:t>
      </w:r>
    </w:p>
    <w:p>
      <w:pPr>
        <w:spacing w:after="60" w:before="0"/>
      </w:pPr>
      <w:r>
        <w:rPr>
          <w:rFonts w:ascii="Arial" w:cs="Arial" w:eastAsia="Arial" w:hAnsi="Arial"/>
          <w:color w:val="1A1A1A"/>
          <w:sz w:val="19"/>
          <w:szCs w:val="19"/>
        </w:rPr>
        <w:t xml:space="preserve">•  Frame the AI companion around metabolic progress (GA trending down) rather than IgG score</w:t>
      </w:r>
    </w:p>
    <w:p>
      <w:pPr>
        <w:spacing w:after="60" w:before="0"/>
      </w:pPr>
      <w:r>
        <w:rPr>
          <w:rFonts w:ascii="Arial" w:cs="Arial" w:eastAsia="Arial" w:hAnsi="Arial"/>
          <w:color w:val="1A1A1A"/>
          <w:sz w:val="19"/>
          <w:szCs w:val="19"/>
        </w:rPr>
        <w:t xml:space="preserve">•  If IgG ever comes under formal challenge, the platform survives and rebuilds around the defensible core</w:t>
      </w:r>
    </w:p>
    <w:p>
      <w:pPr>
        <w:spacing w:after="60" w:before="0"/>
      </w:pPr>
      <w:r>
        <w:rPr>
          <w:rFonts w:ascii="Arial" w:cs="Arial" w:eastAsia="Arial" w:hAnsi="Arial"/>
          <w:color w:val="1A1A1A"/>
          <w:sz w:val="19"/>
          <w:szCs w:val="19"/>
        </w:rPr>
        <w:t xml:space="preserve">•  Year 3: begin building the outcomes corpus — the dataset that will eventually validate or refine the methodology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30" w:sz="4"/>
              <w:left w:val="single" w:color="1A5E30" w:sz="20"/>
              <w:bottom w:val="single" w:color="1A5E30" w:sz="4"/>
              <w:right w:val="single" w:color="1A5E30" w:sz="4"/>
            </w:tcBorders>
            <w:shd w:fill="EBF5EF" w:val="clear"/>
            <w:tcMar>
              <w:top w:type="dxa" w:w="120"/>
              <w:left w:type="dxa" w:w="200"/>
              <w:bottom w:type="dxa" w:w="120"/>
              <w:right w:type="dxa" w:w="200"/>
            </w:tcMar>
          </w:tcPr>
          <w:p>
            <w:pPr>
              <w:spacing w:after="80" w:before="0"/>
            </w:pPr>
            <w:r>
              <w:rPr>
                <w:rFonts w:ascii="Arial" w:cs="Arial" w:eastAsia="Arial" w:hAnsi="Arial"/>
                <w:b/>
                <w:bCs/>
                <w:color w:val="1A5E30"/>
                <w:sz w:val="18"/>
                <w:szCs w:val="18"/>
              </w:rPr>
              <w:t xml:space="preserve">✔  Why Path 3 is the right answer</w:t>
            </w:r>
          </w:p>
          <w:p>
            <w:pPr>
              <w:spacing w:after="40" w:before="0"/>
            </w:pPr>
            <w:r>
              <w:rPr>
                <w:rFonts w:ascii="Arial" w:cs="Arial" w:eastAsia="Arial" w:hAnsi="Arial"/>
                <w:color w:val="1A1A1A"/>
                <w:sz w:val="18"/>
                <w:szCs w:val="18"/>
              </w:rPr>
              <w:t xml:space="preserve">You do not need to resolve the scientific debate to build a successful venture.</w:t>
            </w:r>
          </w:p>
          <w:p>
            <w:pPr>
              <w:spacing w:after="40" w:before="0"/>
            </w:pPr>
            <w:r>
              <w:rPr>
                <w:rFonts w:ascii="Arial" w:cs="Arial" w:eastAsia="Arial" w:hAnsi="Arial"/>
                <w:color w:val="1A1A1A"/>
                <w:sz w:val="18"/>
                <w:szCs w:val="18"/>
              </w:rPr>
              <w:t xml:space="preserve">You need to build a platform that extracts commercial value from the current methodology while not being existentially dependent on its most vulnerable component.</w:t>
            </w:r>
          </w:p>
          <w:p>
            <w:pPr>
              <w:spacing w:after="40" w:before="0"/>
            </w:pPr>
            <w:r>
              <w:rPr>
                <w:rFonts w:ascii="Arial" w:cs="Arial" w:eastAsia="Arial" w:hAnsi="Arial"/>
                <w:color w:val="1A1A1A"/>
                <w:sz w:val="18"/>
                <w:szCs w:val="18"/>
              </w:rPr>
              <w:t xml:space="preserve">The IgG component is what makes patients engage. The glycation component is what makes the science defensible.</w:t>
            </w:r>
          </w:p>
          <w:p>
            <w:pPr>
              <w:spacing w:after="40" w:before="0"/>
            </w:pPr>
            <w:r>
              <w:rPr>
                <w:rFonts w:ascii="Arial" w:cs="Arial" w:eastAsia="Arial" w:hAnsi="Arial"/>
                <w:color w:val="1A1A1A"/>
                <w:sz w:val="18"/>
                <w:szCs w:val="18"/>
              </w:rPr>
              <w:t xml:space="preserve">Build both. Let each do what it does best. Design the platform so one can survive without the other.</w:t>
            </w:r>
          </w:p>
        </w:tc>
      </w:tr>
    </w:tbl>
    <w:p>
      <w:pPr>
        <w:spacing w:after="80" w:before="0"/>
      </w:pPr>
      <w:r>
        <w:t xml:space="preserve"/>
      </w:r>
    </w:p>
    <w:p>
      <w:r>
        <w:br w:type="page"/>
      </w:r>
    </w:p>
    <w:p>
      <w:pPr>
        <w:pBdr>
          <w:bottom w:val="single" w:color="1A5E51" w:sz="8" w:space="6"/>
        </w:pBdr>
        <w:spacing w:after="160" w:before="400"/>
      </w:pPr>
      <w:r>
        <w:rPr>
          <w:rFonts w:ascii="Arial" w:cs="Arial" w:eastAsia="Arial" w:hAnsi="Arial"/>
          <w:b/>
          <w:bCs/>
          <w:color w:val="1A2A3A"/>
          <w:sz w:val="32"/>
          <w:szCs w:val="32"/>
        </w:rPr>
        <w:t xml:space="preserve">7. The Bottom Line</w:t>
      </w:r>
    </w:p>
    <w:p>
      <w:pPr>
        <w:spacing w:after="100" w:before="280"/>
      </w:pPr>
      <w:r>
        <w:rPr>
          <w:rFonts w:ascii="Arial" w:cs="Arial" w:eastAsia="Arial" w:hAnsi="Arial"/>
          <w:b/>
          <w:bCs/>
          <w:color w:val="1A5E51"/>
          <w:sz w:val="24"/>
          <w:szCs w:val="24"/>
        </w:rPr>
        <w:t xml:space="preserve">On the science</w:t>
      </w:r>
    </w:p>
    <w:p>
      <w:pPr>
        <w:spacing w:after="100" w:before="40"/>
      </w:pPr>
      <w:r>
        <w:rPr>
          <w:rFonts w:ascii="Arial" w:cs="Arial" w:eastAsia="Arial" w:hAnsi="Arial"/>
          <w:color w:val="1A1A1A"/>
          <w:sz w:val="20"/>
          <w:szCs w:val="20"/>
        </w:rPr>
        <w:t xml:space="preserve">The scepticism is not growing. It has already grown. The consensus has been settled for over a decade. What has not happened is formal regulatory action in Italy or the EU specifically targeting IgG food testing. GEK Lab has operated through 14 years of scientific rejection without a major incident.</w:t>
      </w:r>
    </w:p>
    <w:p>
      <w:pPr>
        <w:spacing w:after="80" w:before="0"/>
      </w:pPr>
      <w:r>
        <w:t xml:space="preserve"/>
      </w:r>
    </w:p>
    <w:p>
      <w:pPr>
        <w:spacing w:after="100" w:before="280"/>
      </w:pPr>
      <w:r>
        <w:rPr>
          <w:rFonts w:ascii="Arial" w:cs="Arial" w:eastAsia="Arial" w:hAnsi="Arial"/>
          <w:b/>
          <w:bCs/>
          <w:color w:val="1A5E51"/>
          <w:sz w:val="24"/>
          <w:szCs w:val="24"/>
        </w:rPr>
        <w:t xml:space="preserve">On the commercial impact</w:t>
      </w:r>
    </w:p>
    <w:p>
      <w:pPr>
        <w:spacing w:after="100" w:before="40"/>
      </w:pPr>
      <w:r>
        <w:rPr>
          <w:rFonts w:ascii="Arial" w:cs="Arial" w:eastAsia="Arial" w:hAnsi="Arial"/>
          <w:color w:val="1A1A1A"/>
          <w:sz w:val="20"/>
          <w:szCs w:val="20"/>
        </w:rPr>
        <w:t xml:space="preserve">The IgG component is the product’s most distinctive and commercially important feature. It is also its most scientifically exposed feature. These two facts are inseparable. Removing it would make the product substantially weaker and much harder to differentiate at the current price point.</w:t>
      </w:r>
    </w:p>
    <w:p>
      <w:pPr>
        <w:spacing w:after="80" w:before="0"/>
      </w:pPr>
      <w:r>
        <w:t xml:space="preserve"/>
      </w:r>
    </w:p>
    <w:p>
      <w:pPr>
        <w:spacing w:after="100" w:before="280"/>
      </w:pPr>
      <w:r>
        <w:rPr>
          <w:rFonts w:ascii="Arial" w:cs="Arial" w:eastAsia="Arial" w:hAnsi="Arial"/>
          <w:b/>
          <w:bCs/>
          <w:color w:val="1A5E51"/>
          <w:sz w:val="24"/>
          <w:szCs w:val="24"/>
        </w:rPr>
        <w:t xml:space="preserve">On the venture</w:t>
      </w:r>
    </w:p>
    <w:p>
      <w:pPr>
        <w:spacing w:after="100" w:before="40"/>
      </w:pPr>
      <w:r>
        <w:rPr>
          <w:rFonts w:ascii="Arial" w:cs="Arial" w:eastAsia="Arial" w:hAnsi="Arial"/>
          <w:color w:val="1A1A1A"/>
          <w:sz w:val="20"/>
          <w:szCs w:val="20"/>
        </w:rPr>
        <w:t xml:space="preserve">You are not building on a methodology that is about to be discredited. You are building on one that has already been discredited by the scientific mainstream — and has survived commercially regardless for 14 years across four countries.</w:t>
      </w:r>
    </w:p>
    <w:p>
      <w:pPr>
        <w:spacing w:after="100" w:before="40"/>
      </w:pPr>
      <w:r>
        <w:rPr>
          <w:rFonts w:ascii="Arial" w:cs="Arial" w:eastAsia="Arial" w:hAnsi="Arial"/>
          <w:b/>
          <w:bCs/>
          <w:color w:val="1A1A1A"/>
          <w:sz w:val="20"/>
          <w:szCs w:val="20"/>
        </w:rPr>
        <w:t xml:space="preserve">Whether that continues for another four years is the central unresolvable uncertainty of this investment.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51" w:sz="4"/>
              <w:left w:val="single" w:color="1A5E51" w:sz="20"/>
              <w:bottom w:val="single" w:color="1A5E51" w:sz="4"/>
              <w:right w:val="single" w:color="1A5E51" w:sz="4"/>
            </w:tcBorders>
            <w:shd w:fill="EBF4F1" w:val="clear"/>
            <w:tcMar>
              <w:top w:type="dxa" w:w="120"/>
              <w:left w:type="dxa" w:w="200"/>
              <w:bottom w:type="dxa" w:w="120"/>
              <w:right w:type="dxa" w:w="200"/>
            </w:tcMar>
          </w:tcPr>
          <w:p>
            <w:pPr>
              <w:spacing w:after="80" w:before="0"/>
            </w:pPr>
            <w:r>
              <w:rPr>
                <w:rFonts w:ascii="Arial" w:cs="Arial" w:eastAsia="Arial" w:hAnsi="Arial"/>
                <w:b/>
                <w:bCs/>
                <w:color w:val="1A5E51"/>
                <w:sz w:val="18"/>
                <w:szCs w:val="18"/>
              </w:rPr>
              <w:t xml:space="preserve">ℹ  The single most important structural decision</w:t>
            </w:r>
          </w:p>
          <w:p>
            <w:pPr>
              <w:spacing w:after="40" w:before="0"/>
            </w:pPr>
            <w:r>
              <w:rPr>
                <w:rFonts w:ascii="Arial" w:cs="Arial" w:eastAsia="Arial" w:hAnsi="Arial"/>
                <w:color w:val="1A1A1A"/>
                <w:sz w:val="18"/>
                <w:szCs w:val="18"/>
              </w:rPr>
              <w:t xml:space="preserve">Build the platform so that the glycation and genetics layer can stand alone as a product.</w:t>
            </w:r>
          </w:p>
          <w:p>
            <w:pPr>
              <w:spacing w:after="40" w:before="0"/>
            </w:pPr>
            <w:r>
              <w:rPr>
                <w:rFonts w:ascii="Arial" w:cs="Arial" w:eastAsia="Arial" w:hAnsi="Arial"/>
                <w:color w:val="1A1A1A"/>
                <w:sz w:val="18"/>
                <w:szCs w:val="18"/>
              </w:rPr>
              <w:t xml:space="preserve">If you do that, the IgG component is commercial upside — not existential risk.</w:t>
            </w:r>
          </w:p>
          <w:p>
            <w:pPr>
              <w:spacing w:after="40" w:before="0"/>
            </w:pPr>
            <w:r>
              <w:rPr>
                <w:rFonts w:ascii="Arial" w:cs="Arial" w:eastAsia="Arial" w:hAnsi="Arial"/>
                <w:color w:val="1A1A1A"/>
                <w:sz w:val="18"/>
                <w:szCs w:val="18"/>
              </w:rPr>
              <w:t xml:space="preserve">If you do not do that, the IgG component is the foundation of everything — and the foundation is contested.</w:t>
            </w:r>
          </w:p>
          <w:p>
            <w:pPr>
              <w:spacing w:after="40" w:before="0"/>
            </w:pPr>
            <w:r>
              <w:rPr>
                <w:rFonts w:ascii="Arial" w:cs="Arial" w:eastAsia="Arial" w:hAnsi="Arial"/>
                <w:color w:val="1A1A1A"/>
                <w:sz w:val="18"/>
                <w:szCs w:val="18"/>
              </w:rPr>
              <w:t xml:space="preserve">The architecture decision is a risk management decision, not a technical one.</w:t>
            </w:r>
          </w:p>
        </w:tc>
      </w:tr>
    </w:tbl>
    <w:p>
      <w:pPr>
        <w:spacing w:after="8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E51" w:sz="4" w:space="4"/>
      </w:pBdr>
      <w:tabs>
        <w:tab w:val="right" w:pos="9026"/>
      </w:tabs>
      <w:spacing w:after="0" w:before="120"/>
    </w:pPr>
    <w:r>
      <w:rPr>
        <w:rFonts w:ascii="Arial" w:cs="Arial" w:eastAsia="Arial" w:hAnsi="Arial"/>
        <w:i/>
        <w:iCs/>
        <w:color w:val="AAAAAA"/>
        <w:sz w:val="16"/>
        <w:szCs w:val="16"/>
      </w:rPr>
      <w:t xml:space="preserve">For internal strategic use only. Not intended as medical or regulatory advice.</w:t>
    </w:r>
    <w:r>
      <w:rPr>
        <w:rFonts w:ascii="Arial" w:cs="Arial" w:eastAsia="Arial" w:hAnsi="Arial"/>
        <w:color w:val="AAAAAA"/>
        <w:sz w:val="16"/>
        <w:szCs w:val="16"/>
      </w:rPr>
      <w:t xml:space="preserve">	Page </w:t>
    </w:r>
    <w:r>
      <w:rPr>
        <w:rFonts w:ascii="Arial" w:cs="Arial" w:eastAsia="Arial" w:hAnsi="Arial"/>
        <w:color w:val="1A5E51"/>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E51" w:sz="4" w:space="4"/>
      </w:pBdr>
      <w:tabs>
        <w:tab w:val="right" w:pos="9026"/>
      </w:tabs>
      <w:spacing w:after="120" w:before="0"/>
    </w:pPr>
    <w:r>
      <w:rPr>
        <w:rFonts w:ascii="Arial" w:cs="Arial" w:eastAsia="Arial" w:hAnsi="Arial"/>
        <w:b/>
        <w:bCs/>
        <w:color w:val="1A5E51"/>
        <w:sz w:val="18"/>
        <w:szCs w:val="18"/>
      </w:rPr>
      <w:t xml:space="preserve">GEK Lab — Scientific Risk Assessment: The IgG Question</w:t>
    </w:r>
    <w:r>
      <w:rPr>
        <w:rFonts w:ascii="Arial" w:cs="Arial" w:eastAsia="Arial" w:hAnsi="Arial"/>
        <w:i/>
        <w:iCs/>
        <w:color w:val="AAAAAA"/>
        <w:sz w:val="16"/>
        <w:szCs w:val="16"/>
      </w:rPr>
      <w:t xml:space="preserve">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2026-03-10T08:47:30.866Z</dcterms:created>
  <dcterms:modified xsi:type="dcterms:W3CDTF">2026-03-10T08:47:30.867Z</dcterms:modified>
</cp:coreProperties>
</file>

<file path=docProps/custom.xml><?xml version="1.0" encoding="utf-8"?>
<Properties xmlns="http://schemas.openxmlformats.org/officeDocument/2006/custom-properties" xmlns:vt="http://schemas.openxmlformats.org/officeDocument/2006/docPropsVTypes"/>
</file>