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b/>
          <w:bCs/>
          <w:color w:val="1E6B5E"/>
          <w:sz w:val="64"/>
          <w:szCs w:val="64"/>
        </w:rPr>
        <w:t xml:space="preserve">GEK LAB</w:t>
      </w:r>
    </w:p>
    <w:p>
      <w:pPr>
        <w:spacing w:after="80" w:before="0"/>
        <w:jc w:val="center"/>
      </w:pPr>
      <w:r>
        <w:rPr>
          <w:rFonts w:ascii="Arial" w:cs="Arial" w:eastAsia="Arial" w:hAnsi="Arial"/>
          <w:color w:val="1A1A1A"/>
          <w:sz w:val="36"/>
          <w:szCs w:val="36"/>
        </w:rPr>
        <w:t xml:space="preserve">Market Sizing &amp; Revenue Opportunity</w:t>
      </w:r>
    </w:p>
    <w:p>
      <w:pPr>
        <w:spacing w:after="200" w:before="0"/>
        <w:jc w:val="center"/>
      </w:pPr>
      <w:r>
        <w:rPr>
          <w:rFonts w:ascii="Arial" w:cs="Arial" w:eastAsia="Arial" w:hAnsi="Arial"/>
          <w:i/>
          <w:iCs/>
          <w:color w:val="777777"/>
          <w:sz w:val="24"/>
          <w:szCs w:val="24"/>
        </w:rPr>
        <w:t xml:space="preserve">Digital Platform Business Case</w:t>
      </w:r>
    </w:p>
    <w:p>
      <w:pPr>
        <w:pBdr>
          <w:bottom w:val="single" w:color="1E6B5E" w:sz="6" w:space="8"/>
        </w:pBdr>
        <w:spacing w:after="400" w:before="0"/>
        <w:jc w:val="center"/>
      </w:pPr>
      <w:r>
        <w:rPr>
          <w:sz w:val="20"/>
          <w:szCs w:val="20"/>
        </w:rPr>
        <w:t xml:space="preserve"> </w:t>
      </w:r>
    </w:p>
    <w:p>
      <w:pPr>
        <w:spacing w:after="80" w:before="0"/>
      </w:pPr>
      <w:r>
        <w:t xml:space="preserve"/>
      </w:r>
    </w:p>
    <w:p>
      <w:pPr>
        <w:spacing w:after="80" w:before="0"/>
      </w:pPr>
      <w:r>
        <w:t xml:space="preserve"/>
      </w:r>
    </w:p>
    <w:p>
      <w:pPr>
        <w:spacing w:after="60" w:before="0"/>
        <w:jc w:val="center"/>
      </w:pPr>
      <w:r>
        <w:rPr>
          <w:rFonts w:ascii="Arial" w:cs="Arial" w:eastAsia="Arial" w:hAnsi="Arial"/>
          <w:i/>
          <w:iCs/>
          <w:color w:val="999999"/>
          <w:sz w:val="18"/>
          <w:szCs w:val="18"/>
        </w:rPr>
        <w:t xml:space="preserve">For internal use — Digital Partner Proposal</w:t>
      </w:r>
    </w:p>
    <w:p>
      <w:pPr>
        <w:spacing w:after="200" w:before="0"/>
        <w:jc w:val="center"/>
      </w:pPr>
      <w:r>
        <w:rPr>
          <w:rFonts w:ascii="Arial" w:cs="Arial" w:eastAsia="Arial" w:hAnsi="Arial"/>
          <w:i/>
          <w:iCs/>
          <w:color w:val="999999"/>
          <w:sz w:val="18"/>
          <w:szCs w:val="18"/>
        </w:rPr>
        <w:t xml:space="preserve">March 2026</w:t>
      </w:r>
    </w:p>
    <w:p>
      <w:pPr>
        <w:spacing w:after="8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CCCCAA" w:sz="4"/>
              <w:left w:val="single" w:color="CCCCAA" w:sz="4"/>
              <w:bottom w:val="single" w:color="CCCCAA" w:sz="4"/>
              <w:right w:val="single" w:color="CCCCAA" w:sz="4"/>
            </w:tcBorders>
            <w:shd w:fill="F5F3EE" w:val="clear"/>
            <w:tcMar>
              <w:top w:type="dxa" w:w="160"/>
              <w:left w:type="dxa" w:w="240"/>
              <w:bottom w:type="dxa" w:w="160"/>
              <w:right w:type="dxa" w:w="240"/>
            </w:tcMar>
          </w:tcPr>
          <w:p>
            <w:pPr>
              <w:spacing w:after="80" w:before="0"/>
            </w:pPr>
            <w:r>
              <w:rPr>
                <w:rFonts w:ascii="Arial" w:cs="Arial" w:eastAsia="Arial" w:hAnsi="Arial"/>
                <w:b/>
                <w:bCs/>
                <w:color w:val="1A1A1A"/>
                <w:sz w:val="20"/>
                <w:szCs w:val="20"/>
              </w:rPr>
              <w:t xml:space="preserve">How to read this document</w:t>
            </w:r>
          </w:p>
          <w:p>
            <w:pPr>
              <w:spacing w:after="50" w:before="0"/>
            </w:pPr>
            <w:r>
              <w:rPr>
                <w:rFonts w:ascii="Arial" w:cs="Arial" w:eastAsia="Arial" w:hAnsi="Arial"/>
                <w:color w:val="9B6400"/>
                <w:sz w:val="18"/>
                <w:szCs w:val="18"/>
              </w:rPr>
              <w:t xml:space="preserve">⚠  ASSUMPTION — orange boxes flag estimates, models and proxies.</w:t>
            </w:r>
          </w:p>
          <w:p>
            <w:pPr>
              <w:spacing w:after="50" w:before="0"/>
            </w:pPr>
            <w:r>
              <w:rPr>
                <w:rFonts w:ascii="Arial" w:cs="Arial" w:eastAsia="Arial" w:hAnsi="Arial"/>
                <w:color w:val="1E6B5E"/>
                <w:sz w:val="18"/>
                <w:szCs w:val="18"/>
              </w:rPr>
              <w:t xml:space="preserve">✓  VERIFIED FACT — teal boxes flag data from GEK Lab’s public website or official communications.</w:t>
            </w:r>
          </w:p>
          <w:p>
            <w:pPr>
              <w:spacing w:after="0" w:before="0"/>
            </w:pPr>
            <w:r>
              <w:rPr>
                <w:rFonts w:ascii="Arial" w:cs="Arial" w:eastAsia="Arial" w:hAnsi="Arial"/>
                <w:color w:val="991F00"/>
                <w:sz w:val="18"/>
                <w:szCs w:val="18"/>
              </w:rPr>
              <w:t xml:space="preserve">⛔  RISK / CAVEAT — red boxes flag limitations or scenarios where estimates could be materially wrong.</w:t>
            </w:r>
          </w:p>
        </w:tc>
      </w:tr>
    </w:tbl>
    <w:p>
      <w:r>
        <w:br w:type="page"/>
      </w:r>
    </w:p>
    <w:p>
      <w:pPr>
        <w:pBdr>
          <w:bottom w:val="single" w:color="1E6B5E" w:sz="10" w:space="6"/>
        </w:pBdr>
        <w:spacing w:after="140" w:before="400"/>
      </w:pPr>
      <w:r>
        <w:rPr>
          <w:rFonts w:ascii="Arial" w:cs="Arial" w:eastAsia="Arial" w:hAnsi="Arial"/>
          <w:b/>
          <w:bCs/>
          <w:color w:val="1A1A1A"/>
          <w:sz w:val="32"/>
          <w:szCs w:val="32"/>
        </w:rPr>
        <w:t xml:space="preserve">1. Product Pricing</w:t>
      </w:r>
    </w:p>
    <w:p>
      <w:pPr>
        <w:spacing w:after="100" w:before="40"/>
      </w:pPr>
      <w:r>
        <w:rPr>
          <w:rFonts w:ascii="Arial" w:cs="Arial" w:eastAsia="Arial" w:hAnsi="Arial"/>
          <w:color w:val="1A1A1A"/>
          <w:sz w:val="20"/>
          <w:szCs w:val="20"/>
        </w:rPr>
        <w:t xml:space="preserve">Prices verified directly from geklab.com/en/shop and individual product pages, March 2026.</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E" w:sz="4"/>
              <w:left w:val="single" w:color="1E6B5E" w:sz="16"/>
              <w:bottom w:val="single" w:color="1E6B5E" w:sz="4"/>
              <w:right w:val="single" w:color="1E6B5E" w:sz="4"/>
            </w:tcBorders>
            <w:shd w:fill="EBF4F1" w:val="clear"/>
            <w:tcMar>
              <w:top w:type="dxa" w:w="120"/>
              <w:left w:type="dxa" w:w="200"/>
              <w:bottom w:type="dxa" w:w="120"/>
              <w:right w:type="dxa" w:w="200"/>
            </w:tcMar>
          </w:tcPr>
          <w:p>
            <w:pPr>
              <w:spacing w:after="80" w:before="0"/>
            </w:pPr>
            <w:r>
              <w:rPr>
                <w:rFonts w:ascii="Arial" w:cs="Arial" w:eastAsia="Arial" w:hAnsi="Arial"/>
                <w:b/>
                <w:bCs/>
                <w:color w:val="1E6B5E"/>
                <w:sz w:val="18"/>
                <w:szCs w:val="18"/>
              </w:rPr>
              <w:t xml:space="preserve">✓  VERIFIED FACT — Source</w:t>
            </w:r>
          </w:p>
          <w:p>
            <w:pPr>
              <w:spacing w:after="40" w:before="0"/>
            </w:pPr>
            <w:r>
              <w:rPr>
                <w:rFonts w:ascii="Arial" w:cs="Arial" w:eastAsia="Arial" w:hAnsi="Arial"/>
                <w:color w:val="1A1A1A"/>
                <w:sz w:val="18"/>
                <w:szCs w:val="18"/>
              </w:rPr>
              <w:t xml:space="preserve">Prices are public list prices. Partner pharmacy/centre pricing may differ.</w:t>
            </w:r>
          </w:p>
          <w:p>
            <w:pPr>
              <w:spacing w:after="40" w:before="0"/>
            </w:pPr>
            <w:r>
              <w:rPr>
                <w:rFonts w:ascii="Arial" w:cs="Arial" w:eastAsia="Arial" w:hAnsi="Arial"/>
                <w:color w:val="1A1A1A"/>
                <w:sz w:val="18"/>
                <w:szCs w:val="18"/>
              </w:rPr>
              <w:t xml:space="preserve">The PerMè Medical Program (€290) is GEK Lab’s core product and likely represents the majority of volume.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300"/>
        <w:gridCol w:w="1200"/>
        <w:gridCol w:w="2760"/>
      </w:tblGrid>
      <w:tr>
        <w:trPr>
          <w:tblHeader/>
        </w:trPr>
        <w:tc>
          <w:tcPr>
            <w:tcW w:type="dxa" w:w="30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Product</w:t>
            </w:r>
          </w:p>
        </w:tc>
        <w:tc>
          <w:tcPr>
            <w:tcW w:type="dxa" w:w="11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Price</w:t>
            </w:r>
          </w:p>
        </w:tc>
        <w:tc>
          <w:tcPr>
            <w:tcW w:type="dxa" w:w="13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+NutriCoach</w:t>
            </w:r>
          </w:p>
        </w:tc>
        <w:tc>
          <w:tcPr>
            <w:tcW w:type="dxa" w:w="12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Tier</w:t>
            </w:r>
          </w:p>
        </w:tc>
        <w:tc>
          <w:tcPr>
            <w:tcW w:type="dxa" w:w="276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30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A1A1A"/>
                <w:sz w:val="18"/>
                <w:szCs w:val="18"/>
              </w:rPr>
              <w:t xml:space="preserve">PerMè 360 Medical Program</w:t>
            </w:r>
          </w:p>
        </w:tc>
        <w:tc>
          <w:tcPr>
            <w:tcW w:type="dxa" w:w="11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E6B5E"/>
                <w:sz w:val="18"/>
                <w:szCs w:val="18"/>
              </w:rPr>
              <w:t xml:space="preserve">€390</w:t>
            </w:r>
          </w:p>
        </w:tc>
        <w:tc>
          <w:tcPr>
            <w:tcW w:type="dxa" w:w="13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€450</w:t>
            </w:r>
          </w:p>
        </w:tc>
        <w:tc>
          <w:tcPr>
            <w:tcW w:type="dxa" w:w="1200"/>
            <w:tcBorders>
              <w:top w:val="single" w:color="CCCCAA" w:sz="4"/>
              <w:left w:val="single" w:color="CCCCAA" w:sz="4"/>
              <w:bottom w:val="single" w:color="CCCCAA" w:sz="4"/>
              <w:right w:val="single" w:color="CCCCAA" w:sz="4"/>
            </w:tcBorders>
            <w:shd w:fill="EBF4F1" w:val="clear"/>
            <w:tcMar>
              <w:top w:type="dxa" w:w="80"/>
              <w:left w:type="dxa" w:w="140"/>
              <w:bottom w:type="dxa" w:w="80"/>
              <w:right w:type="dxa" w:w="140"/>
            </w:tcMar>
          </w:tcPr>
          <w:p>
            <w:pPr>
              <w:jc w:val="left"/>
            </w:pPr>
            <w:r>
              <w:rPr>
                <w:rFonts w:ascii="Arial" w:cs="Arial" w:eastAsia="Arial" w:hAnsi="Arial"/>
                <w:b w:val="false"/>
                <w:bCs w:val="false"/>
                <w:color w:val="1E6B5E"/>
                <w:sz w:val="18"/>
                <w:szCs w:val="18"/>
              </w:rPr>
              <w:t xml:space="preserve">Premium</w:t>
            </w:r>
          </w:p>
        </w:tc>
        <w:tc>
          <w:tcPr>
            <w:tcW w:type="dxa" w:w="276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Flagship: IgG, BAFF, GA, MGO, genetics, BioAge</w:t>
            </w:r>
          </w:p>
        </w:tc>
      </w:tr>
      <w:tr>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bCs/>
                <w:color w:val="1A1A1A"/>
                <w:sz w:val="18"/>
                <w:szCs w:val="18"/>
              </w:rPr>
              <w:t xml:space="preserve">PerMè Medical Program</w:t>
            </w:r>
          </w:p>
        </w:tc>
        <w:tc>
          <w:tcPr>
            <w:tcW w:type="dxa" w:w="11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bCs/>
                <w:color w:val="1E6B5E"/>
                <w:sz w:val="18"/>
                <w:szCs w:val="18"/>
              </w:rPr>
              <w:t xml:space="preserve">€290</w:t>
            </w:r>
          </w:p>
        </w:tc>
        <w:tc>
          <w:tcPr>
            <w:tcW w:type="dxa" w:w="13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€350</w:t>
            </w:r>
          </w:p>
        </w:tc>
        <w:tc>
          <w:tcPr>
            <w:tcW w:type="dxa" w:w="12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Core</w:t>
            </w:r>
          </w:p>
        </w:tc>
        <w:tc>
          <w:tcPr>
            <w:tcW w:type="dxa" w:w="27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Core product. IgG, BAFF, GA, MGO, genetics. No BioAge.</w:t>
            </w:r>
          </w:p>
        </w:tc>
      </w:tr>
      <w:tr>
        <w:tc>
          <w:tcPr>
            <w:tcW w:type="dxa" w:w="30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Recaller Medical Program</w:t>
            </w:r>
          </w:p>
        </w:tc>
        <w:tc>
          <w:tcPr>
            <w:tcW w:type="dxa" w:w="11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€170</w:t>
            </w:r>
          </w:p>
        </w:tc>
        <w:tc>
          <w:tcPr>
            <w:tcW w:type="dxa" w:w="13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€230</w:t>
            </w:r>
          </w:p>
        </w:tc>
        <w:tc>
          <w:tcPr>
            <w:tcW w:type="dxa" w:w="12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Mid</w:t>
            </w:r>
          </w:p>
        </w:tc>
        <w:tc>
          <w:tcPr>
            <w:tcW w:type="dxa" w:w="276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Food inflammation + TNFSF13B gene only</w:t>
            </w:r>
          </w:p>
        </w:tc>
      </w:tr>
      <w:tr>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Glyco Medical Program</w:t>
            </w:r>
          </w:p>
        </w:tc>
        <w:tc>
          <w:tcPr>
            <w:tcW w:type="dxa" w:w="11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€170</w:t>
            </w:r>
          </w:p>
        </w:tc>
        <w:tc>
          <w:tcPr>
            <w:tcW w:type="dxa" w:w="13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w:t>
            </w:r>
          </w:p>
        </w:tc>
        <w:tc>
          <w:tcPr>
            <w:tcW w:type="dxa" w:w="12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Mid</w:t>
            </w:r>
          </w:p>
        </w:tc>
        <w:tc>
          <w:tcPr>
            <w:tcW w:type="dxa" w:w="27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Sugar inflammation and diabetes/obesity genetics</w:t>
            </w:r>
          </w:p>
        </w:tc>
      </w:tr>
      <w:tr>
        <w:tc>
          <w:tcPr>
            <w:tcW w:type="dxa" w:w="30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BioAge Test</w:t>
            </w:r>
          </w:p>
        </w:tc>
        <w:tc>
          <w:tcPr>
            <w:tcW w:type="dxa" w:w="11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€130</w:t>
            </w:r>
          </w:p>
        </w:tc>
        <w:tc>
          <w:tcPr>
            <w:tcW w:type="dxa" w:w="13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w:t>
            </w:r>
          </w:p>
        </w:tc>
        <w:tc>
          <w:tcPr>
            <w:tcW w:type="dxa" w:w="12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Entry</w:t>
            </w:r>
          </w:p>
        </w:tc>
        <w:tc>
          <w:tcPr>
            <w:tcW w:type="dxa" w:w="276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Telomere length / biological age only</w:t>
            </w:r>
          </w:p>
        </w:tc>
      </w:tr>
      <w:tr>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Glyco Screening</w:t>
            </w:r>
          </w:p>
        </w:tc>
        <w:tc>
          <w:tcPr>
            <w:tcW w:type="dxa" w:w="11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€69</w:t>
            </w:r>
          </w:p>
        </w:tc>
        <w:tc>
          <w:tcPr>
            <w:tcW w:type="dxa" w:w="13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w:t>
            </w:r>
          </w:p>
        </w:tc>
        <w:tc>
          <w:tcPr>
            <w:tcW w:type="dxa" w:w="12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Entry</w:t>
            </w:r>
          </w:p>
        </w:tc>
        <w:tc>
          <w:tcPr>
            <w:tcW w:type="dxa" w:w="27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Basic screening report only</w:t>
            </w:r>
          </w:p>
        </w:tc>
      </w:tr>
      <w:tr>
        <w:tc>
          <w:tcPr>
            <w:tcW w:type="dxa" w:w="30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myGEKLab 12 months</w:t>
            </w:r>
          </w:p>
        </w:tc>
        <w:tc>
          <w:tcPr>
            <w:tcW w:type="dxa" w:w="11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€39</w:t>
            </w:r>
          </w:p>
        </w:tc>
        <w:tc>
          <w:tcPr>
            <w:tcW w:type="dxa" w:w="13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w:t>
            </w:r>
          </w:p>
        </w:tc>
        <w:tc>
          <w:tcPr>
            <w:tcW w:type="dxa" w:w="12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Service</w:t>
            </w:r>
          </w:p>
        </w:tc>
        <w:tc>
          <w:tcPr>
            <w:tcW w:type="dxa" w:w="276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Digital consultation add-on</w:t>
            </w:r>
          </w:p>
        </w:tc>
      </w:tr>
    </w:tbl>
    <w:p>
      <w:r>
        <w:br w:type="page"/>
      </w:r>
    </w:p>
    <w:p>
      <w:pPr>
        <w:pBdr>
          <w:bottom w:val="single" w:color="1E6B5E" w:sz="10" w:space="6"/>
        </w:pBdr>
        <w:spacing w:after="140" w:before="400"/>
      </w:pPr>
      <w:r>
        <w:rPr>
          <w:rFonts w:ascii="Arial" w:cs="Arial" w:eastAsia="Arial" w:hAnsi="Arial"/>
          <w:b/>
          <w:bCs/>
          <w:color w:val="1A1A1A"/>
          <w:sz w:val="32"/>
          <w:szCs w:val="32"/>
        </w:rPr>
        <w:t xml:space="preserve">2. Known Data Points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E" w:sz="4"/>
              <w:left w:val="single" w:color="1E6B5E" w:sz="16"/>
              <w:bottom w:val="single" w:color="1E6B5E" w:sz="4"/>
              <w:right w:val="single" w:color="1E6B5E" w:sz="4"/>
            </w:tcBorders>
            <w:shd w:fill="EBF4F1" w:val="clear"/>
            <w:tcMar>
              <w:top w:type="dxa" w:w="120"/>
              <w:left w:type="dxa" w:w="200"/>
              <w:bottom w:type="dxa" w:w="120"/>
              <w:right w:type="dxa" w:w="200"/>
            </w:tcMar>
          </w:tcPr>
          <w:p>
            <w:pPr>
              <w:spacing w:after="80" w:before="0"/>
            </w:pPr>
            <w:r>
              <w:rPr>
                <w:rFonts w:ascii="Arial" w:cs="Arial" w:eastAsia="Arial" w:hAnsi="Arial"/>
                <w:b/>
                <w:bCs/>
                <w:color w:val="1E6B5E"/>
                <w:sz w:val="18"/>
                <w:szCs w:val="18"/>
              </w:rPr>
              <w:t xml:space="preserve">✓  VERIFIED FACT — Tests delivered — GEK Lab website and direct communication</w:t>
            </w:r>
          </w:p>
          <w:p>
            <w:pPr>
              <w:spacing w:after="40" w:before="0"/>
            </w:pPr>
            <w:r>
              <w:rPr>
                <w:rFonts w:ascii="Arial" w:cs="Arial" w:eastAsia="Arial" w:hAnsi="Arial"/>
                <w:color w:val="1A1A1A"/>
                <w:sz w:val="18"/>
                <w:szCs w:val="18"/>
              </w:rPr>
              <w:t xml:space="preserve">GEK Lab’s website states: ‘more than 180,000 medical reports delivered through over 1,500 partner centres’.</w:t>
            </w:r>
          </w:p>
          <w:p>
            <w:pPr>
              <w:spacing w:after="40" w:before="0"/>
            </w:pPr>
            <w:r>
              <w:rPr>
                <w:rFonts w:ascii="Arial" w:cs="Arial" w:eastAsia="Arial" w:hAnsi="Arial"/>
                <w:color w:val="1A1A1A"/>
                <w:sz w:val="18"/>
                <w:szCs w:val="18"/>
              </w:rPr>
              <w:t xml:space="preserve">The actual figure stated in this analysis is ~200,000 tests over ~14 years.</w:t>
            </w:r>
          </w:p>
          <w:p>
            <w:pPr>
              <w:spacing w:after="40" w:before="0"/>
            </w:pPr>
            <w:r>
              <w:rPr>
                <w:rFonts w:ascii="Arial" w:cs="Arial" w:eastAsia="Arial" w:hAnsi="Arial"/>
                <w:color w:val="1A1A1A"/>
                <w:sz w:val="18"/>
                <w:szCs w:val="18"/>
              </w:rPr>
              <w:t xml:space="preserve">Annual revenue of €1,500,000 was provided directly. The company is reported to be loss-making at this level.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160"/>
        <w:gridCol w:w="2600"/>
      </w:tblGrid>
      <w:tr>
        <w:trPr>
          <w:tblHeader/>
        </w:trPr>
        <w:tc>
          <w:tcPr>
            <w:tcW w:type="dxa" w:w="36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Metric</w:t>
            </w:r>
          </w:p>
        </w:tc>
        <w:tc>
          <w:tcPr>
            <w:tcW w:type="dxa" w:w="316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Value</w:t>
            </w:r>
          </w:p>
        </w:tc>
        <w:tc>
          <w:tcPr>
            <w:tcW w:type="dxa" w:w="26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Source</w:t>
            </w:r>
          </w:p>
        </w:tc>
      </w:tr>
      <w:tr>
        <w:tc>
          <w:tcPr>
            <w:tcW w:type="dxa" w:w="36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Total tests delivered (lifetime)</w:t>
            </w:r>
          </w:p>
        </w:tc>
        <w:tc>
          <w:tcPr>
            <w:tcW w:type="dxa" w:w="316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E6B5E"/>
                <w:sz w:val="18"/>
                <w:szCs w:val="18"/>
              </w:rPr>
              <w:t xml:space="preserve">~200,000</w:t>
            </w:r>
          </w:p>
        </w:tc>
        <w:tc>
          <w:tcPr>
            <w:tcW w:type="dxa" w:w="26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GEK Lab (stated)</w:t>
            </w:r>
          </w:p>
        </w:tc>
      </w:tr>
      <w:tr>
        <w:tc>
          <w:tcPr>
            <w:tcW w:type="dxa" w:w="3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Years operating</w:t>
            </w:r>
          </w:p>
        </w:tc>
        <w:tc>
          <w:tcPr>
            <w:tcW w:type="dxa" w:w="31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~14 years (2012–2026)</w:t>
            </w:r>
          </w:p>
        </w:tc>
        <w:tc>
          <w:tcPr>
            <w:tcW w:type="dxa" w:w="2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GEK Lab website</w:t>
            </w:r>
          </w:p>
        </w:tc>
      </w:tr>
      <w:tr>
        <w:tc>
          <w:tcPr>
            <w:tcW w:type="dxa" w:w="36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Partner centres</w:t>
            </w:r>
          </w:p>
        </w:tc>
        <w:tc>
          <w:tcPr>
            <w:tcW w:type="dxa" w:w="316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A1A1A"/>
                <w:sz w:val="18"/>
                <w:szCs w:val="18"/>
              </w:rPr>
              <w:t xml:space="preserve">1,500+</w:t>
            </w:r>
          </w:p>
        </w:tc>
        <w:tc>
          <w:tcPr>
            <w:tcW w:type="dxa" w:w="26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GEK Lab website</w:t>
            </w:r>
          </w:p>
        </w:tc>
      </w:tr>
      <w:tr>
        <w:tc>
          <w:tcPr>
            <w:tcW w:type="dxa" w:w="3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Markets</w:t>
            </w:r>
          </w:p>
        </w:tc>
        <w:tc>
          <w:tcPr>
            <w:tcW w:type="dxa" w:w="31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Italy, Spain, UK, Switzerland</w:t>
            </w:r>
          </w:p>
        </w:tc>
        <w:tc>
          <w:tcPr>
            <w:tcW w:type="dxa" w:w="2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GEK Lab website</w:t>
            </w:r>
          </w:p>
        </w:tc>
      </w:tr>
      <w:tr>
        <w:tc>
          <w:tcPr>
            <w:tcW w:type="dxa" w:w="36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Annual revenue (stated)</w:t>
            </w:r>
          </w:p>
        </w:tc>
        <w:tc>
          <w:tcPr>
            <w:tcW w:type="dxa" w:w="316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E6B5E"/>
                <w:sz w:val="18"/>
                <w:szCs w:val="18"/>
              </w:rPr>
              <w:t xml:space="preserve">€1,500,000</w:t>
            </w:r>
          </w:p>
        </w:tc>
        <w:tc>
          <w:tcPr>
            <w:tcW w:type="dxa" w:w="26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Provided directly</w:t>
            </w:r>
          </w:p>
        </w:tc>
      </w:tr>
      <w:tr>
        <w:tc>
          <w:tcPr>
            <w:tcW w:type="dxa" w:w="3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Profitability</w:t>
            </w:r>
          </w:p>
        </w:tc>
        <w:tc>
          <w:tcPr>
            <w:tcW w:type="dxa" w:w="31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bCs/>
                <w:color w:val="991F00"/>
                <w:sz w:val="18"/>
                <w:szCs w:val="18"/>
              </w:rPr>
              <w:t xml:space="preserve">Loss-making</w:t>
            </w:r>
          </w:p>
        </w:tc>
        <w:tc>
          <w:tcPr>
            <w:tcW w:type="dxa" w:w="2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Provided directly</w:t>
            </w:r>
          </w:p>
        </w:tc>
      </w:tr>
    </w:tbl>
    <w:p>
      <w:r>
        <w:br w:type="page"/>
      </w:r>
    </w:p>
    <w:p>
      <w:pPr>
        <w:pBdr>
          <w:bottom w:val="single" w:color="1E6B5E" w:sz="10" w:space="6"/>
        </w:pBdr>
        <w:spacing w:after="140" w:before="400"/>
      </w:pPr>
      <w:r>
        <w:rPr>
          <w:rFonts w:ascii="Arial" w:cs="Arial" w:eastAsia="Arial" w:hAnsi="Arial"/>
          <w:b/>
          <w:bCs/>
          <w:color w:val="1A1A1A"/>
          <w:sz w:val="32"/>
          <w:szCs w:val="32"/>
        </w:rPr>
        <w:t xml:space="preserve">3. Deriving Yearly Customer Volume</w:t>
      </w:r>
    </w:p>
    <w:p>
      <w:pPr>
        <w:spacing w:after="100" w:before="40"/>
      </w:pPr>
      <w:r>
        <w:rPr>
          <w:rFonts w:ascii="Arial" w:cs="Arial" w:eastAsia="Arial" w:hAnsi="Arial"/>
          <w:color w:val="1A1A1A"/>
          <w:sz w:val="20"/>
          <w:szCs w:val="20"/>
        </w:rPr>
        <w:t xml:space="preserve">Formula: Yearly customers = Annual revenue / Average Selling Price (ASP). The ASP depends on product mix, which is unknown — three scenarios bracket the range.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6400" w:sz="4"/>
              <w:left w:val="single" w:color="9B6400" w:sz="16"/>
              <w:bottom w:val="single" w:color="9B6400" w:sz="4"/>
              <w:right w:val="single" w:color="9B6400" w:sz="4"/>
            </w:tcBorders>
            <w:shd w:fill="FDF6E3" w:val="clear"/>
            <w:tcMar>
              <w:top w:type="dxa" w:w="120"/>
              <w:left w:type="dxa" w:w="200"/>
              <w:bottom w:type="dxa" w:w="120"/>
              <w:right w:type="dxa" w:w="200"/>
            </w:tcMar>
          </w:tcPr>
          <w:p>
            <w:pPr>
              <w:spacing w:after="80" w:before="0"/>
            </w:pPr>
            <w:r>
              <w:rPr>
                <w:rFonts w:ascii="Arial" w:cs="Arial" w:eastAsia="Arial" w:hAnsi="Arial"/>
                <w:b/>
                <w:bCs/>
                <w:color w:val="9B6400"/>
                <w:sz w:val="18"/>
                <w:szCs w:val="18"/>
              </w:rPr>
              <w:t xml:space="preserve">⚠  ASSUMPTION — Product mix is the key unknown</w:t>
            </w:r>
          </w:p>
          <w:p>
            <w:pPr>
              <w:spacing w:after="40" w:before="0"/>
            </w:pPr>
            <w:r>
              <w:rPr>
                <w:rFonts w:ascii="Arial" w:cs="Arial" w:eastAsia="Arial" w:hAnsi="Arial"/>
                <w:color w:val="1A1A1A"/>
                <w:sz w:val="18"/>
                <w:szCs w:val="18"/>
              </w:rPr>
              <w:t xml:space="preserve">GEK Lab does not publish a breakdown of sales by product line.</w:t>
            </w:r>
          </w:p>
          <w:p>
            <w:pPr>
              <w:spacing w:after="40" w:before="0"/>
            </w:pPr>
            <w:r>
              <w:rPr>
                <w:rFonts w:ascii="Arial" w:cs="Arial" w:eastAsia="Arial" w:hAnsi="Arial"/>
                <w:color w:val="1A1A1A"/>
                <w:sz w:val="18"/>
                <w:szCs w:val="18"/>
              </w:rPr>
              <w:t xml:space="preserve">The mix in each scenario is estimated from observable signals: which products are most promoted, which are flagship, and what a typical pharmacy distribution model looks like.</w:t>
            </w:r>
          </w:p>
          <w:p>
            <w:pPr>
              <w:spacing w:after="40" w:before="0"/>
            </w:pPr>
            <w:r>
              <w:rPr>
                <w:rFonts w:ascii="Arial" w:cs="Arial" w:eastAsia="Arial" w:hAnsi="Arial"/>
                <w:color w:val="1A1A1A"/>
                <w:sz w:val="18"/>
                <w:szCs w:val="18"/>
              </w:rPr>
              <w:t xml:space="preserve">Scenario A (premium-heavy) is considered most likely. Scenarios B and C bracket the range.</w:t>
            </w:r>
          </w:p>
        </w:tc>
      </w:tr>
    </w:tbl>
    <w:p>
      <w:pPr>
        <w:spacing w:after="80" w:before="0"/>
      </w:pPr>
      <w:r>
        <w:t xml:space="preserve"/>
      </w:r>
    </w:p>
    <w:p>
      <w:pPr>
        <w:spacing w:after="80" w:before="0"/>
      </w:pPr>
      <w:r>
        <w:t xml:space="preserve"/>
      </w:r>
    </w:p>
    <w:p>
      <w:pPr>
        <w:spacing w:after="80" w:before="240"/>
      </w:pPr>
      <w:r>
        <w:rPr>
          <w:rFonts w:ascii="Arial" w:cs="Arial" w:eastAsia="Arial" w:hAnsi="Arial"/>
          <w:b/>
          <w:bCs/>
          <w:color w:val="1A1A1A"/>
          <w:sz w:val="22"/>
          <w:szCs w:val="22"/>
        </w:rPr>
        <w:t xml:space="preserve">Scenario A — Premium-heavy mix (Base Case)</w:t>
      </w:r>
    </w:p>
    <w:p>
      <w:pPr>
        <w:spacing w:after="100" w:before="40"/>
      </w:pPr>
      <w:r>
        <w:rPr>
          <w:rFonts w:ascii="Arial" w:cs="Arial" w:eastAsia="Arial" w:hAnsi="Arial"/>
          <w:color w:val="1A1A1A"/>
          <w:sz w:val="20"/>
          <w:szCs w:val="20"/>
        </w:rPr>
        <w:t xml:space="preserve">Flagship PerMè products dominate. Entry-level products are a smaller acquisition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260"/>
        <w:gridCol w:w="1400"/>
        <w:gridCol w:w="2600"/>
      </w:tblGrid>
      <w:tr>
        <w:trPr>
          <w:tblHeader/>
        </w:trPr>
        <w:tc>
          <w:tcPr>
            <w:tcW w:type="dxa" w:w="30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Product</w:t>
            </w:r>
          </w:p>
        </w:tc>
        <w:tc>
          <w:tcPr>
            <w:tcW w:type="dxa" w:w="11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Price</w:t>
            </w:r>
          </w:p>
        </w:tc>
        <w:tc>
          <w:tcPr>
            <w:tcW w:type="dxa" w:w="126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Mix %</w:t>
            </w:r>
          </w:p>
        </w:tc>
        <w:tc>
          <w:tcPr>
            <w:tcW w:type="dxa" w:w="14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Weighted €</w:t>
            </w:r>
          </w:p>
        </w:tc>
        <w:tc>
          <w:tcPr>
            <w:tcW w:type="dxa" w:w="26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Assumption basis</w:t>
            </w:r>
          </w:p>
        </w:tc>
      </w:tr>
      <w:tr>
        <w:tc>
          <w:tcPr>
            <w:tcW w:type="dxa" w:w="30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PerMè 360</w:t>
            </w:r>
          </w:p>
        </w:tc>
        <w:tc>
          <w:tcPr>
            <w:tcW w:type="dxa" w:w="11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€390</w:t>
            </w:r>
          </w:p>
        </w:tc>
        <w:tc>
          <w:tcPr>
            <w:tcW w:type="dxa" w:w="126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35%</w:t>
            </w:r>
          </w:p>
        </w:tc>
        <w:tc>
          <w:tcPr>
            <w:tcW w:type="dxa" w:w="14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€136.50</w:t>
            </w:r>
          </w:p>
        </w:tc>
        <w:tc>
          <w:tcPr>
            <w:tcW w:type="dxa" w:w="26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Growing premium segment</w:t>
            </w:r>
          </w:p>
        </w:tc>
      </w:tr>
      <w:tr>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PerMè</w:t>
            </w:r>
          </w:p>
        </w:tc>
        <w:tc>
          <w:tcPr>
            <w:tcW w:type="dxa" w:w="11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€290</w:t>
            </w:r>
          </w:p>
        </w:tc>
        <w:tc>
          <w:tcPr>
            <w:tcW w:type="dxa" w:w="12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40%</w:t>
            </w:r>
          </w:p>
        </w:tc>
        <w:tc>
          <w:tcPr>
            <w:tcW w:type="dxa" w:w="14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€116.00</w:t>
            </w:r>
          </w:p>
        </w:tc>
        <w:tc>
          <w:tcPr>
            <w:tcW w:type="dxa" w:w="2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Core flagship product</w:t>
            </w:r>
          </w:p>
        </w:tc>
      </w:tr>
      <w:tr>
        <w:tc>
          <w:tcPr>
            <w:tcW w:type="dxa" w:w="30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Recaller</w:t>
            </w:r>
          </w:p>
        </w:tc>
        <w:tc>
          <w:tcPr>
            <w:tcW w:type="dxa" w:w="11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€170</w:t>
            </w:r>
          </w:p>
        </w:tc>
        <w:tc>
          <w:tcPr>
            <w:tcW w:type="dxa" w:w="126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10%</w:t>
            </w:r>
          </w:p>
        </w:tc>
        <w:tc>
          <w:tcPr>
            <w:tcW w:type="dxa" w:w="14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€17.00</w:t>
            </w:r>
          </w:p>
        </w:tc>
        <w:tc>
          <w:tcPr>
            <w:tcW w:type="dxa" w:w="26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Smaller segment</w:t>
            </w:r>
          </w:p>
        </w:tc>
      </w:tr>
      <w:tr>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Glyco</w:t>
            </w:r>
          </w:p>
        </w:tc>
        <w:tc>
          <w:tcPr>
            <w:tcW w:type="dxa" w:w="11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€170</w:t>
            </w:r>
          </w:p>
        </w:tc>
        <w:tc>
          <w:tcPr>
            <w:tcW w:type="dxa" w:w="12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 8%</w:t>
            </w:r>
          </w:p>
        </w:tc>
        <w:tc>
          <w:tcPr>
            <w:tcW w:type="dxa" w:w="14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€13.60</w:t>
            </w:r>
          </w:p>
        </w:tc>
        <w:tc>
          <w:tcPr>
            <w:tcW w:type="dxa" w:w="2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Sugar-focused niche</w:t>
            </w:r>
          </w:p>
        </w:tc>
      </w:tr>
      <w:tr>
        <w:tc>
          <w:tcPr>
            <w:tcW w:type="dxa" w:w="30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BioAge</w:t>
            </w:r>
          </w:p>
        </w:tc>
        <w:tc>
          <w:tcPr>
            <w:tcW w:type="dxa" w:w="11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€130</w:t>
            </w:r>
          </w:p>
        </w:tc>
        <w:tc>
          <w:tcPr>
            <w:tcW w:type="dxa" w:w="126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 4%</w:t>
            </w:r>
          </w:p>
        </w:tc>
        <w:tc>
          <w:tcPr>
            <w:tcW w:type="dxa" w:w="14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€5.20</w:t>
            </w:r>
          </w:p>
        </w:tc>
        <w:tc>
          <w:tcPr>
            <w:tcW w:type="dxa" w:w="26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Add-on / entry</w:t>
            </w:r>
          </w:p>
        </w:tc>
      </w:tr>
      <w:tr>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Screening</w:t>
            </w:r>
          </w:p>
        </w:tc>
        <w:tc>
          <w:tcPr>
            <w:tcW w:type="dxa" w:w="11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€69</w:t>
            </w:r>
          </w:p>
        </w:tc>
        <w:tc>
          <w:tcPr>
            <w:tcW w:type="dxa" w:w="12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 3%</w:t>
            </w:r>
          </w:p>
        </w:tc>
        <w:tc>
          <w:tcPr>
            <w:tcW w:type="dxa" w:w="14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€2.07</w:t>
            </w:r>
          </w:p>
        </w:tc>
        <w:tc>
          <w:tcPr>
            <w:tcW w:type="dxa" w:w="2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Acquisition / triage</w:t>
            </w:r>
          </w:p>
        </w:tc>
      </w:tr>
      <w:tr>
        <w:tc>
          <w:tcPr>
            <w:tcW w:type="dxa" w:w="30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bCs/>
                <w:color w:val="1A1A1A"/>
                <w:sz w:val="18"/>
                <w:szCs w:val="18"/>
              </w:rPr>
              <w:t xml:space="preserve">WEIGHTED ASP</w:t>
            </w:r>
          </w:p>
        </w:tc>
        <w:tc>
          <w:tcPr>
            <w:tcW w:type="dxa" w:w="11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bCs/>
                <w:color w:val="1E6B5E"/>
                <w:sz w:val="18"/>
                <w:szCs w:val="18"/>
              </w:rPr>
              <w:t xml:space="preserve">—</w:t>
            </w:r>
          </w:p>
        </w:tc>
        <w:tc>
          <w:tcPr>
            <w:tcW w:type="dxa" w:w="126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bCs/>
                <w:color w:val="1A1A1A"/>
                <w:sz w:val="18"/>
                <w:szCs w:val="18"/>
              </w:rPr>
              <w:t xml:space="preserve">100%</w:t>
            </w:r>
          </w:p>
        </w:tc>
        <w:tc>
          <w:tcPr>
            <w:tcW w:type="dxa" w:w="14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bCs/>
                <w:color w:val="1E6B5E"/>
                <w:sz w:val="18"/>
                <w:szCs w:val="18"/>
              </w:rPr>
              <w:t xml:space="preserve">€290</w:t>
            </w:r>
          </w:p>
        </w:tc>
        <w:tc>
          <w:tcPr>
            <w:tcW w:type="dxa" w:w="26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 €290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E" w:sz="4"/>
              <w:left w:val="single" w:color="1E6B5E" w:sz="4"/>
              <w:bottom w:val="single" w:color="1E6B5E" w:sz="4"/>
              <w:right w:val="single" w:color="1E6B5E" w:sz="4"/>
            </w:tcBorders>
            <w:shd w:fill="EBF4F1" w:val="clear"/>
            <w:tcMar>
              <w:top w:type="dxa" w:w="120"/>
              <w:left w:type="dxa" w:w="200"/>
              <w:bottom w:type="dxa" w:w="120"/>
              <w:right w:type="dxa" w:w="200"/>
            </w:tcMar>
          </w:tcPr>
          <w:p>
            <w:r>
              <w:rPr>
                <w:rFonts w:ascii="Arial" w:cs="Arial" w:eastAsia="Arial" w:hAnsi="Arial"/>
                <w:b/>
                <w:bCs/>
                <w:color w:val="1E6B5E"/>
                <w:sz w:val="20"/>
                <w:szCs w:val="20"/>
              </w:rPr>
              <w:t xml:space="preserve">Scenario A result:  </w:t>
            </w:r>
            <w:r>
              <w:rPr>
                <w:rFonts w:ascii="Arial" w:cs="Arial" w:eastAsia="Arial" w:hAnsi="Arial"/>
                <w:color w:val="1A1A1A"/>
                <w:sz w:val="20"/>
                <w:szCs w:val="20"/>
              </w:rPr>
              <w:t xml:space="preserve">€1,500,000 ÷ €290 ASP = ~5,170 customers / year</w:t>
            </w:r>
          </w:p>
        </w:tc>
      </w:tr>
    </w:tbl>
    <w:p>
      <w:pPr>
        <w:spacing w:after="80" w:before="0"/>
      </w:pPr>
      <w:r>
        <w:t xml:space="preserve"/>
      </w:r>
    </w:p>
    <w:p>
      <w:pPr>
        <w:spacing w:after="80" w:before="0"/>
      </w:pPr>
      <w:r>
        <w:t xml:space="preserve"/>
      </w:r>
    </w:p>
    <w:p>
      <w:pPr>
        <w:spacing w:after="80" w:before="240"/>
      </w:pPr>
      <w:r>
        <w:rPr>
          <w:rFonts w:ascii="Arial" w:cs="Arial" w:eastAsia="Arial" w:hAnsi="Arial"/>
          <w:b/>
          <w:bCs/>
          <w:color w:val="1A1A1A"/>
          <w:sz w:val="22"/>
          <w:szCs w:val="22"/>
        </w:rPr>
        <w:t xml:space="preserve">Scenario B — Broader mix including lower-tier products</w:t>
      </w:r>
    </w:p>
    <w:p>
      <w:pPr>
        <w:spacing w:after="100" w:before="40"/>
      </w:pPr>
      <w:r>
        <w:rPr>
          <w:rFonts w:ascii="Arial" w:cs="Arial" w:eastAsia="Arial" w:hAnsi="Arial"/>
          <w:color w:val="1A1A1A"/>
          <w:sz w:val="20"/>
          <w:szCs w:val="20"/>
        </w:rPr>
        <w:t xml:space="preserve">Wider pharmacy distribution. Mid- and entry-tier products represent a larger share of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260"/>
        <w:gridCol w:w="1400"/>
        <w:gridCol w:w="2600"/>
      </w:tblGrid>
      <w:tr>
        <w:trPr>
          <w:tblHeader/>
        </w:trPr>
        <w:tc>
          <w:tcPr>
            <w:tcW w:type="dxa" w:w="30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Product</w:t>
            </w:r>
          </w:p>
        </w:tc>
        <w:tc>
          <w:tcPr>
            <w:tcW w:type="dxa" w:w="11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Price</w:t>
            </w:r>
          </w:p>
        </w:tc>
        <w:tc>
          <w:tcPr>
            <w:tcW w:type="dxa" w:w="126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Mix %</w:t>
            </w:r>
          </w:p>
        </w:tc>
        <w:tc>
          <w:tcPr>
            <w:tcW w:type="dxa" w:w="14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Weighted €</w:t>
            </w:r>
          </w:p>
        </w:tc>
        <w:tc>
          <w:tcPr>
            <w:tcW w:type="dxa" w:w="26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Assumption basis</w:t>
            </w:r>
          </w:p>
        </w:tc>
      </w:tr>
      <w:tr>
        <w:tc>
          <w:tcPr>
            <w:tcW w:type="dxa" w:w="30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PerMè 360</w:t>
            </w:r>
          </w:p>
        </w:tc>
        <w:tc>
          <w:tcPr>
            <w:tcW w:type="dxa" w:w="11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€390</w:t>
            </w:r>
          </w:p>
        </w:tc>
        <w:tc>
          <w:tcPr>
            <w:tcW w:type="dxa" w:w="126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20%</w:t>
            </w:r>
          </w:p>
        </w:tc>
        <w:tc>
          <w:tcPr>
            <w:tcW w:type="dxa" w:w="14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€78.00</w:t>
            </w:r>
          </w:p>
        </w:tc>
        <w:tc>
          <w:tcPr>
            <w:tcW w:type="dxa" w:w="26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Smaller premium share</w:t>
            </w:r>
          </w:p>
        </w:tc>
      </w:tr>
      <w:tr>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PerMè</w:t>
            </w:r>
          </w:p>
        </w:tc>
        <w:tc>
          <w:tcPr>
            <w:tcW w:type="dxa" w:w="11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€290</w:t>
            </w:r>
          </w:p>
        </w:tc>
        <w:tc>
          <w:tcPr>
            <w:tcW w:type="dxa" w:w="12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35%</w:t>
            </w:r>
          </w:p>
        </w:tc>
        <w:tc>
          <w:tcPr>
            <w:tcW w:type="dxa" w:w="14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€101.50</w:t>
            </w:r>
          </w:p>
        </w:tc>
        <w:tc>
          <w:tcPr>
            <w:tcW w:type="dxa" w:w="2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Still the core product</w:t>
            </w:r>
          </w:p>
        </w:tc>
      </w:tr>
      <w:tr>
        <w:tc>
          <w:tcPr>
            <w:tcW w:type="dxa" w:w="30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Recaller</w:t>
            </w:r>
          </w:p>
        </w:tc>
        <w:tc>
          <w:tcPr>
            <w:tcW w:type="dxa" w:w="11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€170</w:t>
            </w:r>
          </w:p>
        </w:tc>
        <w:tc>
          <w:tcPr>
            <w:tcW w:type="dxa" w:w="126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15%</w:t>
            </w:r>
          </w:p>
        </w:tc>
        <w:tc>
          <w:tcPr>
            <w:tcW w:type="dxa" w:w="14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€25.50</w:t>
            </w:r>
          </w:p>
        </w:tc>
        <w:tc>
          <w:tcPr>
            <w:tcW w:type="dxa" w:w="26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Higher pharmacy share</w:t>
            </w:r>
          </w:p>
        </w:tc>
      </w:tr>
      <w:tr>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Glyco</w:t>
            </w:r>
          </w:p>
        </w:tc>
        <w:tc>
          <w:tcPr>
            <w:tcW w:type="dxa" w:w="11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€170</w:t>
            </w:r>
          </w:p>
        </w:tc>
        <w:tc>
          <w:tcPr>
            <w:tcW w:type="dxa" w:w="12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12%</w:t>
            </w:r>
          </w:p>
        </w:tc>
        <w:tc>
          <w:tcPr>
            <w:tcW w:type="dxa" w:w="14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€20.40</w:t>
            </w:r>
          </w:p>
        </w:tc>
        <w:tc>
          <w:tcPr>
            <w:tcW w:type="dxa" w:w="2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More pharmacy volume</w:t>
            </w:r>
          </w:p>
        </w:tc>
      </w:tr>
      <w:tr>
        <w:tc>
          <w:tcPr>
            <w:tcW w:type="dxa" w:w="30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BioAge</w:t>
            </w:r>
          </w:p>
        </w:tc>
        <w:tc>
          <w:tcPr>
            <w:tcW w:type="dxa" w:w="11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€130</w:t>
            </w:r>
          </w:p>
        </w:tc>
        <w:tc>
          <w:tcPr>
            <w:tcW w:type="dxa" w:w="126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10%</w:t>
            </w:r>
          </w:p>
        </w:tc>
        <w:tc>
          <w:tcPr>
            <w:tcW w:type="dxa" w:w="14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€13.00</w:t>
            </w:r>
          </w:p>
        </w:tc>
        <w:tc>
          <w:tcPr>
            <w:tcW w:type="dxa" w:w="26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Popular standalone</w:t>
            </w:r>
          </w:p>
        </w:tc>
      </w:tr>
      <w:tr>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Screening</w:t>
            </w:r>
          </w:p>
        </w:tc>
        <w:tc>
          <w:tcPr>
            <w:tcW w:type="dxa" w:w="11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€69</w:t>
            </w:r>
          </w:p>
        </w:tc>
        <w:tc>
          <w:tcPr>
            <w:tcW w:type="dxa" w:w="12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 8%</w:t>
            </w:r>
          </w:p>
        </w:tc>
        <w:tc>
          <w:tcPr>
            <w:tcW w:type="dxa" w:w="14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€5.52</w:t>
            </w:r>
          </w:p>
        </w:tc>
        <w:tc>
          <w:tcPr>
            <w:tcW w:type="dxa" w:w="2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Higher acquisition volume</w:t>
            </w:r>
          </w:p>
        </w:tc>
      </w:tr>
      <w:tr>
        <w:tc>
          <w:tcPr>
            <w:tcW w:type="dxa" w:w="30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bCs/>
                <w:color w:val="1A1A1A"/>
                <w:sz w:val="18"/>
                <w:szCs w:val="18"/>
              </w:rPr>
              <w:t xml:space="preserve">WEIGHTED ASP</w:t>
            </w:r>
          </w:p>
        </w:tc>
        <w:tc>
          <w:tcPr>
            <w:tcW w:type="dxa" w:w="11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bCs/>
                <w:color w:val="1E6B5E"/>
                <w:sz w:val="18"/>
                <w:szCs w:val="18"/>
              </w:rPr>
              <w:t xml:space="preserve">—</w:t>
            </w:r>
          </w:p>
        </w:tc>
        <w:tc>
          <w:tcPr>
            <w:tcW w:type="dxa" w:w="126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bCs/>
                <w:color w:val="1A1A1A"/>
                <w:sz w:val="18"/>
                <w:szCs w:val="18"/>
              </w:rPr>
              <w:t xml:space="preserve">100%</w:t>
            </w:r>
          </w:p>
        </w:tc>
        <w:tc>
          <w:tcPr>
            <w:tcW w:type="dxa" w:w="14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bCs/>
                <w:color w:val="1E6B5E"/>
                <w:sz w:val="18"/>
                <w:szCs w:val="18"/>
              </w:rPr>
              <w:t xml:space="preserve">€244</w:t>
            </w:r>
          </w:p>
        </w:tc>
        <w:tc>
          <w:tcPr>
            <w:tcW w:type="dxa" w:w="2600"/>
            <w:tcBorders>
              <w:top w:val="single" w:color="CCCCAA" w:sz="4"/>
              <w:left w:val="single" w:color="CCCCAA" w:sz="4"/>
              <w:bottom w:val="single" w:color="CCCCAA" w:sz="4"/>
              <w:right w:val="single" w:color="CCCCAA" w:sz="4"/>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 €244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6400" w:sz="4"/>
              <w:left w:val="single" w:color="9B6400" w:sz="4"/>
              <w:bottom w:val="single" w:color="9B6400" w:sz="4"/>
              <w:right w:val="single" w:color="9B6400" w:sz="4"/>
            </w:tcBorders>
            <w:shd w:fill="FDF6E3" w:val="clear"/>
            <w:tcMar>
              <w:top w:type="dxa" w:w="120"/>
              <w:left w:type="dxa" w:w="200"/>
              <w:bottom w:type="dxa" w:w="120"/>
              <w:right w:type="dxa" w:w="200"/>
            </w:tcMar>
          </w:tcPr>
          <w:p>
            <w:r>
              <w:rPr>
                <w:rFonts w:ascii="Arial" w:cs="Arial" w:eastAsia="Arial" w:hAnsi="Arial"/>
                <w:b/>
                <w:bCs/>
                <w:color w:val="9B6400"/>
                <w:sz w:val="20"/>
                <w:szCs w:val="20"/>
              </w:rPr>
              <w:t xml:space="preserve">Scenario B result:  </w:t>
            </w:r>
            <w:r>
              <w:rPr>
                <w:rFonts w:ascii="Arial" w:cs="Arial" w:eastAsia="Arial" w:hAnsi="Arial"/>
                <w:color w:val="1A1A1A"/>
                <w:sz w:val="20"/>
                <w:szCs w:val="20"/>
              </w:rPr>
              <w:t xml:space="preserve">€1,500,000 ÷ €244 ASP = ~6,150 customers / year</w:t>
            </w:r>
          </w:p>
        </w:tc>
      </w:tr>
    </w:tbl>
    <w:p>
      <w:pPr>
        <w:spacing w:after="80" w:before="0"/>
      </w:pPr>
      <w:r>
        <w:t xml:space="preserve"/>
      </w:r>
    </w:p>
    <w:p>
      <w:pPr>
        <w:spacing w:after="80" w:before="0"/>
      </w:pPr>
      <w:r>
        <w:t xml:space="preserve"/>
      </w:r>
    </w:p>
    <w:p>
      <w:pPr>
        <w:spacing w:after="80" w:before="240"/>
      </w:pPr>
      <w:r>
        <w:rPr>
          <w:rFonts w:ascii="Arial" w:cs="Arial" w:eastAsia="Arial" w:hAnsi="Arial"/>
          <w:b/>
          <w:bCs/>
          <w:color w:val="1A1A1A"/>
          <w:sz w:val="22"/>
          <w:szCs w:val="22"/>
        </w:rPr>
        <w:t xml:space="preserve">Scenario C — Premium mix with add-on upsells factored in</w:t>
      </w:r>
    </w:p>
    <w:p>
      <w:pPr>
        <w:spacing w:after="100" w:before="40"/>
      </w:pPr>
      <w:r>
        <w:rPr>
          <w:rFonts w:ascii="Arial" w:cs="Arial" w:eastAsia="Arial" w:hAnsi="Arial"/>
          <w:color w:val="1A1A1A"/>
          <w:sz w:val="20"/>
          <w:szCs w:val="20"/>
        </w:rPr>
        <w:t xml:space="preserve">Same product mix as Scenario A, but 15% of customers add NutriCoach (+€60) and 10% extend myGEKLab (+€39).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6400" w:sz="4"/>
              <w:left w:val="single" w:color="9B6400" w:sz="16"/>
              <w:bottom w:val="single" w:color="9B6400" w:sz="4"/>
              <w:right w:val="single" w:color="9B6400" w:sz="4"/>
            </w:tcBorders>
            <w:shd w:fill="FDF6E3" w:val="clear"/>
            <w:tcMar>
              <w:top w:type="dxa" w:w="120"/>
              <w:left w:type="dxa" w:w="200"/>
              <w:bottom w:type="dxa" w:w="120"/>
              <w:right w:type="dxa" w:w="200"/>
            </w:tcMar>
          </w:tcPr>
          <w:p>
            <w:pPr>
              <w:spacing w:after="80" w:before="0"/>
            </w:pPr>
            <w:r>
              <w:rPr>
                <w:rFonts w:ascii="Arial" w:cs="Arial" w:eastAsia="Arial" w:hAnsi="Arial"/>
                <w:b/>
                <w:bCs/>
                <w:color w:val="9B6400"/>
                <w:sz w:val="18"/>
                <w:szCs w:val="18"/>
              </w:rPr>
              <w:t xml:space="preserve">⚠  ASSUMPTION — Upsell rates</w:t>
            </w:r>
          </w:p>
          <w:p>
            <w:pPr>
              <w:spacing w:after="40" w:before="0"/>
            </w:pPr>
            <w:r>
              <w:rPr>
                <w:rFonts w:ascii="Arial" w:cs="Arial" w:eastAsia="Arial" w:hAnsi="Arial"/>
                <w:color w:val="1A1A1A"/>
                <w:sz w:val="18"/>
                <w:szCs w:val="18"/>
              </w:rPr>
              <w:t xml:space="preserve">The 15% NutriCoach attach rate and 10% myGEKLab extension rate are pure estimates with no supporting data.</w:t>
            </w:r>
          </w:p>
          <w:p>
            <w:pPr>
              <w:spacing w:after="40" w:before="0"/>
            </w:pPr>
            <w:r>
              <w:rPr>
                <w:rFonts w:ascii="Arial" w:cs="Arial" w:eastAsia="Arial" w:hAnsi="Arial"/>
                <w:color w:val="1A1A1A"/>
                <w:sz w:val="18"/>
                <w:szCs w:val="18"/>
              </w:rPr>
              <w:t xml:space="preserve">Included only to show the directional impact of upsells on ASP and derived customer count.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Item</w:t>
            </w:r>
          </w:p>
        </w:tc>
        <w:tc>
          <w:tcPr>
            <w:tcW w:type="dxa" w:w="258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Calculation</w:t>
            </w:r>
          </w:p>
        </w:tc>
        <w:tc>
          <w:tcPr>
            <w:tcW w:type="dxa" w:w="258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Result</w:t>
            </w:r>
          </w:p>
        </w:tc>
      </w:tr>
      <w:tr>
        <w:tc>
          <w:tcPr>
            <w:tcW w:type="dxa" w:w="42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Base ASP (Scenario A)</w:t>
            </w:r>
          </w:p>
        </w:tc>
        <w:tc>
          <w:tcPr>
            <w:tcW w:type="dxa" w:w="25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From Scenario A</w:t>
            </w:r>
          </w:p>
        </w:tc>
        <w:tc>
          <w:tcPr>
            <w:tcW w:type="dxa" w:w="25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€290</w:t>
            </w:r>
          </w:p>
        </w:tc>
      </w:tr>
      <w:tr>
        <w:tc>
          <w:tcPr>
            <w:tcW w:type="dxa" w:w="42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NutriCoach uplift (15% of customers x €60)</w:t>
            </w:r>
          </w:p>
        </w:tc>
        <w:tc>
          <w:tcPr>
            <w:tcW w:type="dxa" w:w="258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0.15 x €60</w:t>
            </w:r>
          </w:p>
        </w:tc>
        <w:tc>
          <w:tcPr>
            <w:tcW w:type="dxa" w:w="258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+€9.00</w:t>
            </w:r>
          </w:p>
        </w:tc>
      </w:tr>
      <w:tr>
        <w:tc>
          <w:tcPr>
            <w:tcW w:type="dxa" w:w="42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myGEKLab uplift (10% of customers x €39)</w:t>
            </w:r>
          </w:p>
        </w:tc>
        <w:tc>
          <w:tcPr>
            <w:tcW w:type="dxa" w:w="25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0.10 x €39</w:t>
            </w:r>
          </w:p>
        </w:tc>
        <w:tc>
          <w:tcPr>
            <w:tcW w:type="dxa" w:w="25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+€3.90</w:t>
            </w:r>
          </w:p>
        </w:tc>
      </w:tr>
      <w:tr>
        <w:tc>
          <w:tcPr>
            <w:tcW w:type="dxa" w:w="42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A1A1A"/>
                <w:sz w:val="18"/>
                <w:szCs w:val="18"/>
              </w:rPr>
              <w:t xml:space="preserve">Adjusted ASP</w:t>
            </w:r>
          </w:p>
        </w:tc>
        <w:tc>
          <w:tcPr>
            <w:tcW w:type="dxa" w:w="25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A1A1A"/>
                <w:sz w:val="18"/>
                <w:szCs w:val="18"/>
              </w:rPr>
              <w:t xml:space="preserve">290 + 9 + 3.90</w:t>
            </w:r>
          </w:p>
        </w:tc>
        <w:tc>
          <w:tcPr>
            <w:tcW w:type="dxa" w:w="25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E6B5E"/>
                <w:sz w:val="18"/>
                <w:szCs w:val="18"/>
              </w:rPr>
              <w:t xml:space="preserve">€303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E" w:sz="4"/>
              <w:left w:val="single" w:color="1E6B5E" w:sz="4"/>
              <w:bottom w:val="single" w:color="1E6B5E" w:sz="4"/>
              <w:right w:val="single" w:color="1E6B5E" w:sz="4"/>
            </w:tcBorders>
            <w:shd w:fill="EBF4F1" w:val="clear"/>
            <w:tcMar>
              <w:top w:type="dxa" w:w="120"/>
              <w:left w:type="dxa" w:w="200"/>
              <w:bottom w:type="dxa" w:w="120"/>
              <w:right w:type="dxa" w:w="200"/>
            </w:tcMar>
          </w:tcPr>
          <w:p>
            <w:r>
              <w:rPr>
                <w:rFonts w:ascii="Arial" w:cs="Arial" w:eastAsia="Arial" w:hAnsi="Arial"/>
                <w:b/>
                <w:bCs/>
                <w:color w:val="1E6B5E"/>
                <w:sz w:val="20"/>
                <w:szCs w:val="20"/>
              </w:rPr>
              <w:t xml:space="preserve">Scenario C result:  </w:t>
            </w:r>
            <w:r>
              <w:rPr>
                <w:rFonts w:ascii="Arial" w:cs="Arial" w:eastAsia="Arial" w:hAnsi="Arial"/>
                <w:color w:val="1A1A1A"/>
                <w:sz w:val="20"/>
                <w:szCs w:val="20"/>
              </w:rPr>
              <w:t xml:space="preserve">€1,500,000 ÷ €303 ASP = ~4,950 customers / year</w:t>
            </w:r>
          </w:p>
        </w:tc>
      </w:tr>
    </w:tbl>
    <w:p>
      <w:pPr>
        <w:spacing w:after="80" w:before="0"/>
      </w:pPr>
      <w:r>
        <w:t xml:space="preserve"/>
      </w:r>
    </w:p>
    <w:p>
      <w:r>
        <w:br w:type="page"/>
      </w:r>
    </w:p>
    <w:p>
      <w:pPr>
        <w:pBdr>
          <w:bottom w:val="single" w:color="1E6B5E" w:sz="10" w:space="6"/>
        </w:pBdr>
        <w:spacing w:after="140" w:before="400"/>
      </w:pPr>
      <w:r>
        <w:rPr>
          <w:rFonts w:ascii="Arial" w:cs="Arial" w:eastAsia="Arial" w:hAnsi="Arial"/>
          <w:b/>
          <w:bCs/>
          <w:color w:val="1A1A1A"/>
          <w:sz w:val="32"/>
          <w:szCs w:val="32"/>
        </w:rPr>
        <w:t xml:space="preserve">4. Sanity Check — Lifetime Volume vs. Yearly Rate</w:t>
      </w:r>
    </w:p>
    <w:p>
      <w:pPr>
        <w:spacing w:after="100" w:before="40"/>
      </w:pPr>
      <w:r>
        <w:rPr>
          <w:rFonts w:ascii="Arial" w:cs="Arial" w:eastAsia="Arial" w:hAnsi="Arial"/>
          <w:color w:val="1A1A1A"/>
          <w:sz w:val="20"/>
          <w:szCs w:val="20"/>
        </w:rPr>
        <w:t xml:space="preserve">We cross-check the revenue-derived customer estimate against the 200,000 lifetime tests figure to test internal consistency.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E" w:sz="4"/>
              <w:left w:val="single" w:color="1E6B5E" w:sz="16"/>
              <w:bottom w:val="single" w:color="1E6B5E" w:sz="4"/>
              <w:right w:val="single" w:color="1E6B5E" w:sz="4"/>
            </w:tcBorders>
            <w:shd w:fill="EBF4F1" w:val="clear"/>
            <w:tcMar>
              <w:top w:type="dxa" w:w="120"/>
              <w:left w:type="dxa" w:w="200"/>
              <w:bottom w:type="dxa" w:w="120"/>
              <w:right w:type="dxa" w:w="200"/>
            </w:tcMar>
          </w:tcPr>
          <w:p>
            <w:pPr>
              <w:spacing w:after="80" w:before="0"/>
            </w:pPr>
            <w:r>
              <w:rPr>
                <w:rFonts w:ascii="Arial" w:cs="Arial" w:eastAsia="Arial" w:hAnsi="Arial"/>
                <w:b/>
                <w:bCs/>
                <w:color w:val="1E6B5E"/>
                <w:sz w:val="18"/>
                <w:szCs w:val="18"/>
              </w:rPr>
              <w:t xml:space="preserve">✓  VERIFIED FACT — Lifetime arithmetic</w:t>
            </w:r>
          </w:p>
          <w:p>
            <w:pPr>
              <w:spacing w:after="40" w:before="0"/>
            </w:pPr>
            <w:r>
              <w:rPr>
                <w:rFonts w:ascii="Arial" w:cs="Arial" w:eastAsia="Arial" w:hAnsi="Arial"/>
                <w:color w:val="1A1A1A"/>
                <w:sz w:val="18"/>
                <w:szCs w:val="18"/>
              </w:rPr>
              <w:t xml:space="preserve">200,000 tests / 14 years = ~14,300 tests/year simple average.</w:t>
            </w:r>
          </w:p>
          <w:p>
            <w:pPr>
              <w:spacing w:after="40" w:before="0"/>
            </w:pPr>
            <w:r>
              <w:rPr>
                <w:rFonts w:ascii="Arial" w:cs="Arial" w:eastAsia="Arial" w:hAnsi="Arial"/>
                <w:color w:val="1A1A1A"/>
                <w:sz w:val="18"/>
                <w:szCs w:val="18"/>
              </w:rPr>
              <w:t xml:space="preserve">This average hides a growth curve: early years were low-volume; the peak was likely 2017–2021; recent years appear lower.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6400" w:sz="4"/>
              <w:left w:val="single" w:color="9B6400" w:sz="16"/>
              <w:bottom w:val="single" w:color="9B6400" w:sz="4"/>
              <w:right w:val="single" w:color="9B6400" w:sz="4"/>
            </w:tcBorders>
            <w:shd w:fill="FDF6E3" w:val="clear"/>
            <w:tcMar>
              <w:top w:type="dxa" w:w="120"/>
              <w:left w:type="dxa" w:w="200"/>
              <w:bottom w:type="dxa" w:w="120"/>
              <w:right w:type="dxa" w:w="200"/>
            </w:tcMar>
          </w:tcPr>
          <w:p>
            <w:pPr>
              <w:spacing w:after="80" w:before="0"/>
            </w:pPr>
            <w:r>
              <w:rPr>
                <w:rFonts w:ascii="Arial" w:cs="Arial" w:eastAsia="Arial" w:hAnsi="Arial"/>
                <w:b/>
                <w:bCs/>
                <w:color w:val="9B6400"/>
                <w:sz w:val="18"/>
                <w:szCs w:val="18"/>
              </w:rPr>
              <w:t xml:space="preserve">⚠  ASSUMPTION — Growth curve shape</w:t>
            </w:r>
          </w:p>
          <w:p>
            <w:pPr>
              <w:spacing w:after="40" w:before="0"/>
            </w:pPr>
            <w:r>
              <w:rPr>
                <w:rFonts w:ascii="Arial" w:cs="Arial" w:eastAsia="Arial" w:hAnsi="Arial"/>
                <w:color w:val="1A1A1A"/>
                <w:sz w:val="18"/>
                <w:szCs w:val="18"/>
              </w:rPr>
              <w:t xml:space="preserve">The phasing in the table below is illustrative. The exact year-by-year split is not known.</w:t>
            </w:r>
          </w:p>
          <w:p>
            <w:pPr>
              <w:spacing w:after="40" w:before="0"/>
            </w:pPr>
            <w:r>
              <w:rPr>
                <w:rFonts w:ascii="Arial" w:cs="Arial" w:eastAsia="Arial" w:hAnsi="Arial"/>
                <w:color w:val="1A1A1A"/>
                <w:sz w:val="18"/>
                <w:szCs w:val="18"/>
              </w:rPr>
              <w:t xml:space="preserve">It shows that a current run-rate of 5,000–6,500/year is internally consistent with a 200,000 lifetime total.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160"/>
        <w:gridCol w:w="2000"/>
      </w:tblGrid>
      <w:tr>
        <w:trPr>
          <w:tblHeader/>
        </w:trPr>
        <w:tc>
          <w:tcPr>
            <w:tcW w:type="dxa" w:w="24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Phase</w:t>
            </w:r>
          </w:p>
        </w:tc>
        <w:tc>
          <w:tcPr>
            <w:tcW w:type="dxa" w:w="28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Period (approx.)</w:t>
            </w:r>
          </w:p>
        </w:tc>
        <w:tc>
          <w:tcPr>
            <w:tcW w:type="dxa" w:w="216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Est. tests/year</w:t>
            </w:r>
          </w:p>
        </w:tc>
        <w:tc>
          <w:tcPr>
            <w:tcW w:type="dxa" w:w="20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4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Early build</w:t>
            </w:r>
          </w:p>
        </w:tc>
        <w:tc>
          <w:tcPr>
            <w:tcW w:type="dxa" w:w="28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2012–2016 (5 yrs)</w:t>
            </w:r>
          </w:p>
        </w:tc>
        <w:tc>
          <w:tcPr>
            <w:tcW w:type="dxa" w:w="216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2,000–5,000</w:t>
            </w:r>
          </w:p>
        </w:tc>
        <w:tc>
          <w:tcPr>
            <w:tcW w:type="dxa" w:w="20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Network building</w:t>
            </w:r>
          </w:p>
        </w:tc>
      </w:tr>
      <w:tr>
        <w:tc>
          <w:tcPr>
            <w:tcW w:type="dxa" w:w="24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Growth peak</w:t>
            </w:r>
          </w:p>
        </w:tc>
        <w:tc>
          <w:tcPr>
            <w:tcW w:type="dxa" w:w="28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2017–2021 (5 yrs)</w:t>
            </w:r>
          </w:p>
        </w:tc>
        <w:tc>
          <w:tcPr>
            <w:tcW w:type="dxa" w:w="21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bCs/>
                <w:color w:val="1A1A1A"/>
                <w:sz w:val="18"/>
                <w:szCs w:val="18"/>
              </w:rPr>
              <w:t xml:space="preserve">10,000–18,000</w:t>
            </w:r>
          </w:p>
        </w:tc>
        <w:tc>
          <w:tcPr>
            <w:tcW w:type="dxa" w:w="2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Full expansion</w:t>
            </w:r>
          </w:p>
        </w:tc>
      </w:tr>
      <w:tr>
        <w:tc>
          <w:tcPr>
            <w:tcW w:type="dxa" w:w="24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Recent plateau</w:t>
            </w:r>
          </w:p>
        </w:tc>
        <w:tc>
          <w:tcPr>
            <w:tcW w:type="dxa" w:w="28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2022–2026 (4 yrs)</w:t>
            </w:r>
          </w:p>
        </w:tc>
        <w:tc>
          <w:tcPr>
            <w:tcW w:type="dxa" w:w="216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5,000–7,000</w:t>
            </w:r>
          </w:p>
        </w:tc>
        <w:tc>
          <w:tcPr>
            <w:tcW w:type="dxa" w:w="20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Current situation</w:t>
            </w:r>
          </w:p>
        </w:tc>
      </w:tr>
    </w:tbl>
    <w:p>
      <w:pPr>
        <w:spacing w:after="80" w:before="0"/>
      </w:pPr>
      <w:r>
        <w:t xml:space="preserve"/>
      </w:r>
    </w:p>
    <w:p>
      <w:pPr>
        <w:spacing w:after="100" w:before="40"/>
      </w:pPr>
      <w:r>
        <w:rPr>
          <w:rFonts w:ascii="Arial" w:cs="Arial" w:eastAsia="Arial" w:hAnsi="Arial"/>
          <w:color w:val="1A1A1A"/>
          <w:sz w:val="20"/>
          <w:szCs w:val="20"/>
        </w:rPr>
        <w:t xml:space="preserve">A current rate of ~5,000–6,500 customers/year is consistent with both the revenue analysis and the lifetime volume: the company peaked at higher volumes, has since declined, and is now in a lower-volume, higher-price, more direct sales model.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F00" w:sz="4"/>
              <w:left w:val="single" w:color="991F00" w:sz="16"/>
              <w:bottom w:val="single" w:color="991F00" w:sz="4"/>
              <w:right w:val="single" w:color="991F00" w:sz="4"/>
            </w:tcBorders>
            <w:shd w:fill="FDF0EC" w:val="clear"/>
            <w:tcMar>
              <w:top w:type="dxa" w:w="120"/>
              <w:left w:type="dxa" w:w="200"/>
              <w:bottom w:type="dxa" w:w="120"/>
              <w:right w:type="dxa" w:w="200"/>
            </w:tcMar>
          </w:tcPr>
          <w:p>
            <w:pPr>
              <w:spacing w:after="80" w:before="0"/>
            </w:pPr>
            <w:r>
              <w:rPr>
                <w:rFonts w:ascii="Arial" w:cs="Arial" w:eastAsia="Arial" w:hAnsi="Arial"/>
                <w:b/>
                <w:bCs/>
                <w:color w:val="991F00"/>
                <w:sz w:val="18"/>
                <w:szCs w:val="18"/>
              </w:rPr>
              <w:t xml:space="preserve">⛔  RISK / CAVEAT — Wholesale pricing risk</w:t>
            </w:r>
          </w:p>
          <w:p>
            <w:pPr>
              <w:spacing w:after="40" w:before="0"/>
            </w:pPr>
            <w:r>
              <w:rPr>
                <w:rFonts w:ascii="Arial" w:cs="Arial" w:eastAsia="Arial" w:hAnsi="Arial"/>
                <w:color w:val="1A1A1A"/>
                <w:sz w:val="18"/>
                <w:szCs w:val="18"/>
              </w:rPr>
              <w:t xml:space="preserve">If a significant portion of past volume was sold wholesale to pharmacies at a discount to RRP, historical revenue per test would have been lower than current list prices.</w:t>
            </w:r>
          </w:p>
          <w:p>
            <w:pPr>
              <w:spacing w:after="40" w:before="0"/>
            </w:pPr>
            <w:r>
              <w:rPr>
                <w:rFonts w:ascii="Arial" w:cs="Arial" w:eastAsia="Arial" w:hAnsi="Arial"/>
                <w:color w:val="1A1A1A"/>
                <w:sz w:val="18"/>
                <w:szCs w:val="18"/>
              </w:rPr>
              <w:t xml:space="preserve">This could mean the peak volume years involved even more tests, and the current run-rate could be below 5,000/year.</w:t>
            </w:r>
          </w:p>
          <w:p>
            <w:pPr>
              <w:spacing w:after="40" w:before="0"/>
            </w:pPr>
            <w:r>
              <w:rPr>
                <w:rFonts w:ascii="Arial" w:cs="Arial" w:eastAsia="Arial" w:hAnsi="Arial"/>
                <w:color w:val="1A1A1A"/>
                <w:sz w:val="18"/>
                <w:szCs w:val="18"/>
              </w:rPr>
              <w:t xml:space="preserve">Without GEK Lab’s internal revenue breakdown, this cannot be confirmed or refuted.</w:t>
            </w:r>
          </w:p>
        </w:tc>
      </w:tr>
    </w:tbl>
    <w:p>
      <w:pPr>
        <w:spacing w:after="80" w:before="0"/>
      </w:pPr>
      <w:r>
        <w:t xml:space="preserve"/>
      </w:r>
    </w:p>
    <w:p>
      <w:r>
        <w:br w:type="page"/>
      </w:r>
    </w:p>
    <w:p>
      <w:pPr>
        <w:pBdr>
          <w:bottom w:val="single" w:color="1E6B5E" w:sz="10" w:space="6"/>
        </w:pBdr>
        <w:spacing w:after="140" w:before="400"/>
      </w:pPr>
      <w:r>
        <w:rPr>
          <w:rFonts w:ascii="Arial" w:cs="Arial" w:eastAsia="Arial" w:hAnsi="Arial"/>
          <w:b/>
          <w:bCs/>
          <w:color w:val="1A1A1A"/>
          <w:sz w:val="32"/>
          <w:szCs w:val="32"/>
        </w:rPr>
        <w:t xml:space="preserve">5. Summary — Customer Volume Estimates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1660"/>
        <w:gridCol w:w="1900"/>
      </w:tblGrid>
      <w:tr>
        <w:trPr>
          <w:tblHeader/>
        </w:trPr>
        <w:tc>
          <w:tcPr>
            <w:tcW w:type="dxa" w:w="26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Scenario</w:t>
            </w:r>
          </w:p>
        </w:tc>
        <w:tc>
          <w:tcPr>
            <w:tcW w:type="dxa" w:w="15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ASP</w:t>
            </w:r>
          </w:p>
        </w:tc>
        <w:tc>
          <w:tcPr>
            <w:tcW w:type="dxa" w:w="17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Revenue</w:t>
            </w:r>
          </w:p>
        </w:tc>
        <w:tc>
          <w:tcPr>
            <w:tcW w:type="dxa" w:w="166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Customers/yr</w:t>
            </w:r>
          </w:p>
        </w:tc>
        <w:tc>
          <w:tcPr>
            <w:tcW w:type="dxa" w:w="19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Confidence</w:t>
            </w:r>
          </w:p>
        </w:tc>
      </w:tr>
      <w:tr>
        <w:tc>
          <w:tcPr>
            <w:tcW w:type="dxa" w:w="26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A1A1A"/>
                <w:sz w:val="18"/>
                <w:szCs w:val="18"/>
              </w:rPr>
              <w:t xml:space="preserve">A — Premium-heavy (Base)</w:t>
            </w:r>
          </w:p>
        </w:tc>
        <w:tc>
          <w:tcPr>
            <w:tcW w:type="dxa" w:w="15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E6B5E"/>
                <w:sz w:val="18"/>
                <w:szCs w:val="18"/>
              </w:rPr>
              <w:t xml:space="preserve">€290</w:t>
            </w:r>
          </w:p>
        </w:tc>
        <w:tc>
          <w:tcPr>
            <w:tcW w:type="dxa" w:w="17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€1,500,000</w:t>
            </w:r>
          </w:p>
        </w:tc>
        <w:tc>
          <w:tcPr>
            <w:tcW w:type="dxa" w:w="166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E6B5E"/>
                <w:sz w:val="18"/>
                <w:szCs w:val="18"/>
              </w:rPr>
              <w:t xml:space="preserve">~5,170</w:t>
            </w:r>
          </w:p>
        </w:tc>
        <w:tc>
          <w:tcPr>
            <w:tcW w:type="dxa" w:w="1900"/>
            <w:tcBorders>
              <w:top w:val="single" w:color="CCCCAA" w:sz="4"/>
              <w:left w:val="single" w:color="CCCCAA" w:sz="4"/>
              <w:bottom w:val="single" w:color="CCCCAA" w:sz="4"/>
              <w:right w:val="single" w:color="CCCCAA" w:sz="4"/>
            </w:tcBorders>
            <w:shd w:fill="EBF4F1" w:val="clear"/>
            <w:tcMar>
              <w:top w:type="dxa" w:w="80"/>
              <w:left w:type="dxa" w:w="140"/>
              <w:bottom w:type="dxa" w:w="80"/>
              <w:right w:type="dxa" w:w="140"/>
            </w:tcMar>
          </w:tcPr>
          <w:p>
            <w:pPr>
              <w:jc w:val="left"/>
            </w:pPr>
            <w:r>
              <w:rPr>
                <w:rFonts w:ascii="Arial" w:cs="Arial" w:eastAsia="Arial" w:hAnsi="Arial"/>
                <w:b/>
                <w:bCs/>
                <w:color w:val="1E6B5E"/>
                <w:sz w:val="18"/>
                <w:szCs w:val="18"/>
              </w:rPr>
              <w:t xml:space="preserve">Most likely</w:t>
            </w:r>
          </w:p>
        </w:tc>
      </w:tr>
      <w:tr>
        <w:tc>
          <w:tcPr>
            <w:tcW w:type="dxa" w:w="2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B — Broader mix</w:t>
            </w:r>
          </w:p>
        </w:tc>
        <w:tc>
          <w:tcPr>
            <w:tcW w:type="dxa" w:w="15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9B6400"/>
                <w:sz w:val="18"/>
                <w:szCs w:val="18"/>
              </w:rPr>
              <w:t xml:space="preserve">€244</w:t>
            </w:r>
          </w:p>
        </w:tc>
        <w:tc>
          <w:tcPr>
            <w:tcW w:type="dxa" w:w="17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€1,500,000</w:t>
            </w:r>
          </w:p>
        </w:tc>
        <w:tc>
          <w:tcPr>
            <w:tcW w:type="dxa" w:w="166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bCs/>
                <w:color w:val="9B6400"/>
                <w:sz w:val="18"/>
                <w:szCs w:val="18"/>
              </w:rPr>
              <w:t xml:space="preserve">~6,150</w:t>
            </w:r>
          </w:p>
        </w:tc>
        <w:tc>
          <w:tcPr>
            <w:tcW w:type="dxa" w:w="1900"/>
            <w:tcBorders>
              <w:top w:val="single" w:color="CCCCAA" w:sz="4"/>
              <w:left w:val="single" w:color="CCCCAA" w:sz="4"/>
              <w:bottom w:val="single" w:color="CCCCAA" w:sz="4"/>
              <w:right w:val="single" w:color="CCCCAA" w:sz="4"/>
            </w:tcBorders>
            <w:shd w:fill="FDF6E3" w:val="clear"/>
            <w:tcMar>
              <w:top w:type="dxa" w:w="80"/>
              <w:left w:type="dxa" w:w="140"/>
              <w:bottom w:type="dxa" w:w="80"/>
              <w:right w:type="dxa" w:w="140"/>
            </w:tcMar>
          </w:tcPr>
          <w:p>
            <w:pPr>
              <w:jc w:val="left"/>
            </w:pPr>
            <w:r>
              <w:rPr>
                <w:rFonts w:ascii="Arial" w:cs="Arial" w:eastAsia="Arial" w:hAnsi="Arial"/>
                <w:b/>
                <w:bCs/>
                <w:color w:val="9B6400"/>
                <w:sz w:val="18"/>
                <w:szCs w:val="18"/>
              </w:rPr>
              <w:t xml:space="preserve">Plausible</w:t>
            </w:r>
          </w:p>
        </w:tc>
      </w:tr>
      <w:tr>
        <w:tc>
          <w:tcPr>
            <w:tcW w:type="dxa" w:w="26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C — Premium + upsells</w:t>
            </w:r>
          </w:p>
        </w:tc>
        <w:tc>
          <w:tcPr>
            <w:tcW w:type="dxa" w:w="15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E6B5E"/>
                <w:sz w:val="18"/>
                <w:szCs w:val="18"/>
              </w:rPr>
              <w:t xml:space="preserve">€303</w:t>
            </w:r>
          </w:p>
        </w:tc>
        <w:tc>
          <w:tcPr>
            <w:tcW w:type="dxa" w:w="17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€1,500,000</w:t>
            </w:r>
          </w:p>
        </w:tc>
        <w:tc>
          <w:tcPr>
            <w:tcW w:type="dxa" w:w="166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E6B5E"/>
                <w:sz w:val="18"/>
                <w:szCs w:val="18"/>
              </w:rPr>
              <w:t xml:space="preserve">~4,950</w:t>
            </w:r>
          </w:p>
        </w:tc>
        <w:tc>
          <w:tcPr>
            <w:tcW w:type="dxa" w:w="1900"/>
            <w:tcBorders>
              <w:top w:val="single" w:color="CCCCAA" w:sz="4"/>
              <w:left w:val="single" w:color="CCCCAA" w:sz="4"/>
              <w:bottom w:val="single" w:color="CCCCAA" w:sz="4"/>
              <w:right w:val="single" w:color="CCCCAA" w:sz="4"/>
            </w:tcBorders>
            <w:shd w:fill="EBF4F1" w:val="clear"/>
            <w:tcMar>
              <w:top w:type="dxa" w:w="80"/>
              <w:left w:type="dxa" w:w="140"/>
              <w:bottom w:type="dxa" w:w="80"/>
              <w:right w:type="dxa" w:w="140"/>
            </w:tcMar>
          </w:tcPr>
          <w:p>
            <w:pPr>
              <w:jc w:val="left"/>
            </w:pPr>
            <w:r>
              <w:rPr>
                <w:rFonts w:ascii="Arial" w:cs="Arial" w:eastAsia="Arial" w:hAnsi="Arial"/>
                <w:b/>
                <w:bCs/>
                <w:color w:val="1E6B5E"/>
                <w:sz w:val="18"/>
                <w:szCs w:val="18"/>
              </w:rPr>
              <w:t xml:space="preserve">Plausible</w:t>
            </w:r>
          </w:p>
        </w:tc>
      </w:tr>
      <w:tr>
        <w:tc>
          <w:tcPr>
            <w:tcW w:type="dxa" w:w="2600"/>
            <w:tcBorders>
              <w:top w:val="single" w:color="CCCCAA" w:sz="4"/>
              <w:left w:val="single" w:color="CCCCAA" w:sz="4"/>
              <w:bottom w:val="single" w:color="CCCCAA" w:sz="4"/>
              <w:right w:val="single" w:color="CCCCAA" w:sz="4"/>
            </w:tcBorders>
            <w:shd w:fill="E2DDD4" w:val="clear"/>
            <w:tcMar>
              <w:top w:type="dxa" w:w="80"/>
              <w:left w:type="dxa" w:w="140"/>
              <w:bottom w:type="dxa" w:w="80"/>
              <w:right w:type="dxa" w:w="140"/>
            </w:tcMar>
          </w:tcPr>
          <w:p>
            <w:pPr>
              <w:jc w:val="left"/>
            </w:pPr>
            <w:r>
              <w:rPr>
                <w:rFonts w:ascii="Arial" w:cs="Arial" w:eastAsia="Arial" w:hAnsi="Arial"/>
                <w:b/>
                <w:bCs/>
                <w:color w:val="1A1A1A"/>
                <w:sz w:val="18"/>
                <w:szCs w:val="18"/>
              </w:rPr>
              <w:t xml:space="preserve">Working estimate (range)</w:t>
            </w:r>
          </w:p>
        </w:tc>
        <w:tc>
          <w:tcPr>
            <w:tcW w:type="dxa" w:w="1500"/>
            <w:tcBorders>
              <w:top w:val="single" w:color="CCCCAA" w:sz="4"/>
              <w:left w:val="single" w:color="CCCCAA" w:sz="4"/>
              <w:bottom w:val="single" w:color="CCCCAA" w:sz="4"/>
              <w:right w:val="single" w:color="CCCCAA" w:sz="4"/>
            </w:tcBorders>
            <w:shd w:fill="E2DDD4" w:val="clear"/>
            <w:tcMar>
              <w:top w:type="dxa" w:w="80"/>
              <w:left w:type="dxa" w:w="140"/>
              <w:bottom w:type="dxa" w:w="80"/>
              <w:right w:type="dxa" w:w="140"/>
            </w:tcMar>
          </w:tcPr>
          <w:p>
            <w:pPr>
              <w:jc w:val="left"/>
            </w:pPr>
            <w:r>
              <w:rPr>
                <w:rFonts w:ascii="Arial" w:cs="Arial" w:eastAsia="Arial" w:hAnsi="Arial"/>
                <w:b/>
                <w:bCs/>
                <w:color w:val="1A1A1A"/>
                <w:sz w:val="18"/>
                <w:szCs w:val="18"/>
              </w:rPr>
              <w:t xml:space="preserve">€270–290</w:t>
            </w:r>
          </w:p>
        </w:tc>
        <w:tc>
          <w:tcPr>
            <w:tcW w:type="dxa" w:w="1700"/>
            <w:tcBorders>
              <w:top w:val="single" w:color="CCCCAA" w:sz="4"/>
              <w:left w:val="single" w:color="CCCCAA" w:sz="4"/>
              <w:bottom w:val="single" w:color="CCCCAA" w:sz="4"/>
              <w:right w:val="single" w:color="CCCCAA" w:sz="4"/>
            </w:tcBorders>
            <w:shd w:fill="E2DDD4"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€1,500,000</w:t>
            </w:r>
          </w:p>
        </w:tc>
        <w:tc>
          <w:tcPr>
            <w:tcW w:type="dxa" w:w="1660"/>
            <w:tcBorders>
              <w:top w:val="single" w:color="CCCCAA" w:sz="4"/>
              <w:left w:val="single" w:color="CCCCAA" w:sz="4"/>
              <w:bottom w:val="single" w:color="CCCCAA" w:sz="4"/>
              <w:right w:val="single" w:color="CCCCAA" w:sz="4"/>
            </w:tcBorders>
            <w:shd w:fill="E2DDD4" w:val="clear"/>
            <w:tcMar>
              <w:top w:type="dxa" w:w="80"/>
              <w:left w:type="dxa" w:w="140"/>
              <w:bottom w:type="dxa" w:w="80"/>
              <w:right w:type="dxa" w:w="140"/>
            </w:tcMar>
          </w:tcPr>
          <w:p>
            <w:pPr>
              <w:jc w:val="left"/>
            </w:pPr>
            <w:r>
              <w:rPr>
                <w:rFonts w:ascii="Arial" w:cs="Arial" w:eastAsia="Arial" w:hAnsi="Arial"/>
                <w:b/>
                <w:bCs/>
                <w:color w:val="1E6B5E"/>
                <w:sz w:val="18"/>
                <w:szCs w:val="18"/>
              </w:rPr>
              <w:t xml:space="preserve">5,000–6,500</w:t>
            </w:r>
          </w:p>
        </w:tc>
        <w:tc>
          <w:tcPr>
            <w:tcW w:type="dxa" w:w="1900"/>
            <w:tcBorders>
              <w:top w:val="single" w:color="CCCCAA" w:sz="4"/>
              <w:left w:val="single" w:color="CCCCAA" w:sz="4"/>
              <w:bottom w:val="single" w:color="CCCCAA" w:sz="4"/>
              <w:right w:val="single" w:color="CCCCAA" w:sz="4"/>
            </w:tcBorders>
            <w:shd w:fill="E2DDD4"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See caveats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6400" w:sz="4"/>
              <w:left w:val="single" w:color="9B6400" w:sz="16"/>
              <w:bottom w:val="single" w:color="9B6400" w:sz="4"/>
              <w:right w:val="single" w:color="9B6400" w:sz="4"/>
            </w:tcBorders>
            <w:shd w:fill="FDF6E3" w:val="clear"/>
            <w:tcMar>
              <w:top w:type="dxa" w:w="120"/>
              <w:left w:type="dxa" w:w="200"/>
              <w:bottom w:type="dxa" w:w="120"/>
              <w:right w:type="dxa" w:w="200"/>
            </w:tcMar>
          </w:tcPr>
          <w:p>
            <w:pPr>
              <w:spacing w:after="80" w:before="0"/>
            </w:pPr>
            <w:r>
              <w:rPr>
                <w:rFonts w:ascii="Arial" w:cs="Arial" w:eastAsia="Arial" w:hAnsi="Arial"/>
                <w:b/>
                <w:bCs/>
                <w:color w:val="9B6400"/>
                <w:sz w:val="18"/>
                <w:szCs w:val="18"/>
              </w:rPr>
              <w:t xml:space="preserve">⚠  ASSUMPTION — Working estimate</w:t>
            </w:r>
          </w:p>
          <w:p>
            <w:pPr>
              <w:spacing w:after="40" w:before="0"/>
            </w:pPr>
            <w:r>
              <w:rPr>
                <w:rFonts w:ascii="Arial" w:cs="Arial" w:eastAsia="Arial" w:hAnsi="Arial"/>
                <w:color w:val="1A1A1A"/>
                <w:sz w:val="18"/>
                <w:szCs w:val="18"/>
              </w:rPr>
              <w:t xml:space="preserve">The range of 5,000–6,500 customers/year is the working estimate used in all subsequent analyses.</w:t>
            </w:r>
          </w:p>
          <w:p>
            <w:pPr>
              <w:spacing w:after="40" w:before="0"/>
            </w:pPr>
            <w:r>
              <w:rPr>
                <w:rFonts w:ascii="Arial" w:cs="Arial" w:eastAsia="Arial" w:hAnsi="Arial"/>
                <w:color w:val="1A1A1A"/>
                <w:sz w:val="18"/>
                <w:szCs w:val="18"/>
              </w:rPr>
              <w:t xml:space="preserve">It is consistent with both the revenue model (revenue / ASP) and the lifetime volume sanity check.</w:t>
            </w:r>
          </w:p>
          <w:p>
            <w:pPr>
              <w:spacing w:after="40" w:before="0"/>
            </w:pPr>
            <w:r>
              <w:rPr>
                <w:rFonts w:ascii="Arial" w:cs="Arial" w:eastAsia="Arial" w:hAnsi="Arial"/>
                <w:color w:val="1A1A1A"/>
                <w:sz w:val="18"/>
                <w:szCs w:val="18"/>
              </w:rPr>
              <w:t xml:space="preserve">Replace with actual internal data as soon as GEK Lab can provide a customer count broken down by product.</w:t>
            </w:r>
          </w:p>
        </w:tc>
      </w:tr>
    </w:tbl>
    <w:p>
      <w:pPr>
        <w:spacing w:after="80" w:before="0"/>
      </w:pPr>
      <w:r>
        <w:t xml:space="preserve"/>
      </w:r>
    </w:p>
    <w:p>
      <w:r>
        <w:br w:type="page"/>
      </w:r>
    </w:p>
    <w:p>
      <w:pPr>
        <w:pBdr>
          <w:bottom w:val="single" w:color="1E6B5E" w:sz="10" w:space="6"/>
        </w:pBdr>
        <w:spacing w:after="140" w:before="400"/>
      </w:pPr>
      <w:r>
        <w:rPr>
          <w:rFonts w:ascii="Arial" w:cs="Arial" w:eastAsia="Arial" w:hAnsi="Arial"/>
          <w:b/>
          <w:bCs/>
          <w:color w:val="1A1A1A"/>
          <w:sz w:val="32"/>
          <w:szCs w:val="32"/>
        </w:rPr>
        <w:t xml:space="preserve">6. The Digital Platform Opportunity</w:t>
      </w:r>
    </w:p>
    <w:p>
      <w:pPr>
        <w:spacing w:after="100" w:before="300"/>
      </w:pPr>
      <w:r>
        <w:rPr>
          <w:rFonts w:ascii="Arial" w:cs="Arial" w:eastAsia="Arial" w:hAnsi="Arial"/>
          <w:b/>
          <w:bCs/>
          <w:color w:val="1E6B5E"/>
          <w:sz w:val="26"/>
          <w:szCs w:val="26"/>
        </w:rPr>
        <w:t xml:space="preserve">6.1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Metric</w:t>
            </w:r>
          </w:p>
        </w:tc>
        <w:tc>
          <w:tcPr>
            <w:tcW w:type="dxa" w:w="288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Current</w:t>
            </w:r>
          </w:p>
        </w:tc>
        <w:tc>
          <w:tcPr>
            <w:tcW w:type="dxa" w:w="288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36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Annual paying customers</w:t>
            </w:r>
          </w:p>
        </w:tc>
        <w:tc>
          <w:tcPr>
            <w:tcW w:type="dxa" w:w="28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9B6400"/>
                <w:sz w:val="18"/>
                <w:szCs w:val="18"/>
              </w:rPr>
              <w:t xml:space="preserve">~5,000–6,500</w:t>
            </w:r>
          </w:p>
        </w:tc>
        <w:tc>
          <w:tcPr>
            <w:tcW w:type="dxa" w:w="28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Estimate — see Section 5</w:t>
            </w:r>
          </w:p>
        </w:tc>
      </w:tr>
      <w:tr>
        <w:tc>
          <w:tcPr>
            <w:tcW w:type="dxa" w:w="3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Revenue per customer</w:t>
            </w:r>
          </w:p>
        </w:tc>
        <w:tc>
          <w:tcPr>
            <w:tcW w:type="dxa" w:w="288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€270–290 (one-time)</w:t>
            </w:r>
          </w:p>
        </w:tc>
        <w:tc>
          <w:tcPr>
            <w:tcW w:type="dxa" w:w="288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Test price only</w:t>
            </w:r>
          </w:p>
        </w:tc>
      </w:tr>
      <w:tr>
        <w:tc>
          <w:tcPr>
            <w:tcW w:type="dxa" w:w="36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Digital subscription revenue</w:t>
            </w:r>
          </w:p>
        </w:tc>
        <w:tc>
          <w:tcPr>
            <w:tcW w:type="dxa" w:w="28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991F00"/>
                <w:sz w:val="18"/>
                <w:szCs w:val="18"/>
              </w:rPr>
              <w:t xml:space="preserve">€0</w:t>
            </w:r>
          </w:p>
        </w:tc>
        <w:tc>
          <w:tcPr>
            <w:tcW w:type="dxa" w:w="28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No subscription product exists</w:t>
            </w:r>
          </w:p>
        </w:tc>
      </w:tr>
      <w:tr>
        <w:tc>
          <w:tcPr>
            <w:tcW w:type="dxa" w:w="3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myGEKLab service</w:t>
            </w:r>
          </w:p>
        </w:tc>
        <w:tc>
          <w:tcPr>
            <w:tcW w:type="dxa" w:w="288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6 months free with test</w:t>
            </w:r>
          </w:p>
        </w:tc>
        <w:tc>
          <w:tcPr>
            <w:tcW w:type="dxa" w:w="288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Included in test price; not separately monetised</w:t>
            </w:r>
          </w:p>
        </w:tc>
      </w:tr>
      <w:tr>
        <w:tc>
          <w:tcPr>
            <w:tcW w:type="dxa" w:w="36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Total annual revenue</w:t>
            </w:r>
          </w:p>
        </w:tc>
        <w:tc>
          <w:tcPr>
            <w:tcW w:type="dxa" w:w="28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E6B5E"/>
                <w:sz w:val="18"/>
                <w:szCs w:val="18"/>
              </w:rPr>
              <w:t xml:space="preserve">€1,500,000</w:t>
            </w:r>
          </w:p>
        </w:tc>
        <w:tc>
          <w:tcPr>
            <w:tcW w:type="dxa" w:w="28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As stated</w:t>
            </w:r>
          </w:p>
        </w:tc>
      </w:tr>
    </w:tbl>
    <w:p>
      <w:pPr>
        <w:spacing w:after="80" w:before="0"/>
      </w:pPr>
      <w:r>
        <w:t xml:space="preserve"/>
      </w:r>
    </w:p>
    <w:p>
      <w:pPr>
        <w:spacing w:after="100" w:before="300"/>
      </w:pPr>
      <w:r>
        <w:rPr>
          <w:rFonts w:ascii="Arial" w:cs="Arial" w:eastAsia="Arial" w:hAnsi="Arial"/>
          <w:b/>
          <w:bCs/>
          <w:color w:val="1E6B5E"/>
          <w:sz w:val="26"/>
          <w:szCs w:val="26"/>
        </w:rPr>
        <w:t xml:space="preserve">6.2 Three-Year Projection Scenarios</w:t>
      </w:r>
    </w:p>
    <w:p>
      <w:pPr>
        <w:spacing w:after="100" w:before="40"/>
      </w:pPr>
      <w:r>
        <w:rPr>
          <w:rFonts w:ascii="Arial" w:cs="Arial" w:eastAsia="Arial" w:hAnsi="Arial"/>
          <w:color w:val="1A1A1A"/>
          <w:sz w:val="20"/>
          <w:szCs w:val="20"/>
        </w:rPr>
        <w:t xml:space="preserve">The subscription layer is the structural opportunity. A test currently generating a single €290 payment can become a relationship generating €290 + €180/yr — without changing the underlying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6400" w:sz="4"/>
              <w:left w:val="single" w:color="9B6400" w:sz="16"/>
              <w:bottom w:val="single" w:color="9B6400" w:sz="4"/>
              <w:right w:val="single" w:color="9B6400" w:sz="4"/>
            </w:tcBorders>
            <w:shd w:fill="FDF6E3" w:val="clear"/>
            <w:tcMar>
              <w:top w:type="dxa" w:w="120"/>
              <w:left w:type="dxa" w:w="200"/>
              <w:bottom w:type="dxa" w:w="120"/>
              <w:right w:type="dxa" w:w="200"/>
            </w:tcMar>
          </w:tcPr>
          <w:p>
            <w:pPr>
              <w:spacing w:after="80" w:before="0"/>
            </w:pPr>
            <w:r>
              <w:rPr>
                <w:rFonts w:ascii="Arial" w:cs="Arial" w:eastAsia="Arial" w:hAnsi="Arial"/>
                <w:b/>
                <w:bCs/>
                <w:color w:val="9B6400"/>
                <w:sz w:val="18"/>
                <w:szCs w:val="18"/>
              </w:rPr>
              <w:t xml:space="preserve">⚠  ASSUMPTION — All figures below are projections, not forecasts</w:t>
            </w:r>
          </w:p>
          <w:p>
            <w:pPr>
              <w:spacing w:after="40" w:before="0"/>
            </w:pPr>
            <w:r>
              <w:rPr>
                <w:rFonts w:ascii="Arial" w:cs="Arial" w:eastAsia="Arial" w:hAnsi="Arial"/>
                <w:color w:val="1A1A1A"/>
                <w:sz w:val="18"/>
                <w:szCs w:val="18"/>
              </w:rPr>
              <w:t xml:space="preserve">Test volume growth depends on a new digital acquisition engine — currently the weakest part of GEK Lab’s model.</w:t>
            </w:r>
          </w:p>
          <w:p>
            <w:pPr>
              <w:spacing w:after="40" w:before="0"/>
            </w:pPr>
            <w:r>
              <w:rPr>
                <w:rFonts w:ascii="Arial" w:cs="Arial" w:eastAsia="Arial" w:hAnsi="Arial"/>
                <w:color w:val="1A1A1A"/>
                <w:sz w:val="18"/>
                <w:szCs w:val="18"/>
              </w:rPr>
              <w:t xml:space="preserve">Subscription price of €15/month (€180/year) is benchmarked against comparable digital health products (Zoe, Noom). Not tested with GEK Lab customers.</w:t>
            </w:r>
          </w:p>
          <w:p>
            <w:pPr>
              <w:spacing w:after="40" w:before="0"/>
            </w:pPr>
            <w:r>
              <w:rPr>
                <w:rFonts w:ascii="Arial" w:cs="Arial" w:eastAsia="Arial" w:hAnsi="Arial"/>
                <w:color w:val="1A1A1A"/>
                <w:sz w:val="18"/>
                <w:szCs w:val="18"/>
              </w:rPr>
              <w:t xml:space="preserve">30% base-case attach rate is an estimate. A poor digital product will produce far lower attach rates.</w:t>
            </w:r>
          </w:p>
          <w:p>
            <w:pPr>
              <w:spacing w:after="40" w:before="0"/>
            </w:pPr>
            <w:r>
              <w:rPr>
                <w:rFonts w:ascii="Arial" w:cs="Arial" w:eastAsia="Arial" w:hAnsi="Arial"/>
                <w:color w:val="1A1A1A"/>
                <w:sz w:val="18"/>
                <w:szCs w:val="18"/>
              </w:rPr>
              <w:t xml:space="preserve">Churn is NOT modelled. Real digital health retention is typically 50–70%/year. Net subscription revenue would be lower than shown.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Metric (Year 3)</w:t>
            </w:r>
          </w:p>
        </w:tc>
        <w:tc>
          <w:tcPr>
            <w:tcW w:type="dxa" w:w="212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Conservative</w:t>
            </w:r>
          </w:p>
        </w:tc>
        <w:tc>
          <w:tcPr>
            <w:tcW w:type="dxa" w:w="212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Base Case</w:t>
            </w:r>
          </w:p>
        </w:tc>
        <w:tc>
          <w:tcPr>
            <w:tcW w:type="dxa" w:w="212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Optimistic</w:t>
            </w:r>
          </w:p>
        </w:tc>
      </w:tr>
      <w:tr>
        <w:tc>
          <w:tcPr>
            <w:tcW w:type="dxa" w:w="30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Annual test customers</w:t>
            </w:r>
          </w:p>
        </w:tc>
        <w:tc>
          <w:tcPr>
            <w:tcW w:type="dxa" w:w="212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8,000</w:t>
            </w:r>
          </w:p>
        </w:tc>
        <w:tc>
          <w:tcPr>
            <w:tcW w:type="dxa" w:w="212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A1A1A"/>
                <w:sz w:val="18"/>
                <w:szCs w:val="18"/>
              </w:rPr>
              <w:t xml:space="preserve">15,000</w:t>
            </w:r>
          </w:p>
        </w:tc>
        <w:tc>
          <w:tcPr>
            <w:tcW w:type="dxa" w:w="212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25,000</w:t>
            </w:r>
          </w:p>
        </w:tc>
      </w:tr>
      <w:tr>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Test revenue</w:t>
            </w:r>
          </w:p>
        </w:tc>
        <w:tc>
          <w:tcPr>
            <w:tcW w:type="dxa" w:w="212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€2.3M</w:t>
            </w:r>
          </w:p>
        </w:tc>
        <w:tc>
          <w:tcPr>
            <w:tcW w:type="dxa" w:w="212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bCs/>
                <w:color w:val="1A1A1A"/>
                <w:sz w:val="18"/>
                <w:szCs w:val="18"/>
              </w:rPr>
              <w:t xml:space="preserve">€4.4M</w:t>
            </w:r>
          </w:p>
        </w:tc>
        <w:tc>
          <w:tcPr>
            <w:tcW w:type="dxa" w:w="212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€7.3M</w:t>
            </w:r>
          </w:p>
        </w:tc>
      </w:tr>
      <w:tr>
        <w:tc>
          <w:tcPr>
            <w:tcW w:type="dxa" w:w="30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Subscription attach rate</w:t>
            </w:r>
          </w:p>
        </w:tc>
        <w:tc>
          <w:tcPr>
            <w:tcW w:type="dxa" w:w="212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15%</w:t>
            </w:r>
          </w:p>
        </w:tc>
        <w:tc>
          <w:tcPr>
            <w:tcW w:type="dxa" w:w="212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A1A1A"/>
                <w:sz w:val="18"/>
                <w:szCs w:val="18"/>
              </w:rPr>
              <w:t xml:space="preserve">30%</w:t>
            </w:r>
          </w:p>
        </w:tc>
        <w:tc>
          <w:tcPr>
            <w:tcW w:type="dxa" w:w="212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45%</w:t>
            </w:r>
          </w:p>
        </w:tc>
      </w:tr>
      <w:tr>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Active subscribers</w:t>
            </w:r>
          </w:p>
        </w:tc>
        <w:tc>
          <w:tcPr>
            <w:tcW w:type="dxa" w:w="212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1,200</w:t>
            </w:r>
          </w:p>
        </w:tc>
        <w:tc>
          <w:tcPr>
            <w:tcW w:type="dxa" w:w="212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bCs/>
                <w:color w:val="1A1A1A"/>
                <w:sz w:val="18"/>
                <w:szCs w:val="18"/>
              </w:rPr>
              <w:t xml:space="preserve">4,500</w:t>
            </w:r>
          </w:p>
        </w:tc>
        <w:tc>
          <w:tcPr>
            <w:tcW w:type="dxa" w:w="212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11,250</w:t>
            </w:r>
          </w:p>
        </w:tc>
      </w:tr>
      <w:tr>
        <w:tc>
          <w:tcPr>
            <w:tcW w:type="dxa" w:w="30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Subscription price/yr</w:t>
            </w:r>
          </w:p>
        </w:tc>
        <w:tc>
          <w:tcPr>
            <w:tcW w:type="dxa" w:w="212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€180</w:t>
            </w:r>
          </w:p>
        </w:tc>
        <w:tc>
          <w:tcPr>
            <w:tcW w:type="dxa" w:w="212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A1A1A"/>
                <w:sz w:val="18"/>
                <w:szCs w:val="18"/>
              </w:rPr>
              <w:t xml:space="preserve">€180</w:t>
            </w:r>
          </w:p>
        </w:tc>
        <w:tc>
          <w:tcPr>
            <w:tcW w:type="dxa" w:w="212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€180</w:t>
            </w:r>
          </w:p>
        </w:tc>
      </w:tr>
      <w:tr>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Subscription revenue</w:t>
            </w:r>
          </w:p>
        </w:tc>
        <w:tc>
          <w:tcPr>
            <w:tcW w:type="dxa" w:w="212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€216K</w:t>
            </w:r>
          </w:p>
        </w:tc>
        <w:tc>
          <w:tcPr>
            <w:tcW w:type="dxa" w:w="212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bCs/>
                <w:color w:val="1A1A1A"/>
                <w:sz w:val="18"/>
                <w:szCs w:val="18"/>
              </w:rPr>
              <w:t xml:space="preserve">€810K</w:t>
            </w:r>
          </w:p>
        </w:tc>
        <w:tc>
          <w:tcPr>
            <w:tcW w:type="dxa" w:w="212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€2.0M</w:t>
            </w:r>
          </w:p>
        </w:tc>
      </w:tr>
      <w:tr>
        <w:tc>
          <w:tcPr>
            <w:tcW w:type="dxa" w:w="30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A1A1A"/>
                <w:sz w:val="18"/>
                <w:szCs w:val="18"/>
              </w:rPr>
              <w:t xml:space="preserve">TOTAL REVENUE (yr 3)</w:t>
            </w:r>
          </w:p>
        </w:tc>
        <w:tc>
          <w:tcPr>
            <w:tcW w:type="dxa" w:w="212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~€2.5M</w:t>
            </w:r>
          </w:p>
        </w:tc>
        <w:tc>
          <w:tcPr>
            <w:tcW w:type="dxa" w:w="212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bCs/>
                <w:color w:val="1E6B5E"/>
                <w:sz w:val="18"/>
                <w:szCs w:val="18"/>
              </w:rPr>
              <w:t xml:space="preserve">~€5.2M</w:t>
            </w:r>
          </w:p>
        </w:tc>
        <w:tc>
          <w:tcPr>
            <w:tcW w:type="dxa" w:w="212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~€9.3M</w:t>
            </w:r>
          </w:p>
        </w:tc>
      </w:tr>
      <w:tr>
        <w:tc>
          <w:tcPr>
            <w:tcW w:type="dxa" w:w="30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vs. current (€1.5M)</w:t>
            </w:r>
          </w:p>
        </w:tc>
        <w:tc>
          <w:tcPr>
            <w:tcW w:type="dxa" w:w="212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9B6400"/>
                <w:sz w:val="18"/>
                <w:szCs w:val="18"/>
              </w:rPr>
              <w:t xml:space="preserve">+67%</w:t>
            </w:r>
          </w:p>
        </w:tc>
        <w:tc>
          <w:tcPr>
            <w:tcW w:type="dxa" w:w="212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bCs/>
                <w:color w:val="1E6B5E"/>
                <w:sz w:val="18"/>
                <w:szCs w:val="18"/>
              </w:rPr>
              <w:t xml:space="preserve">+247%</w:t>
            </w:r>
          </w:p>
        </w:tc>
        <w:tc>
          <w:tcPr>
            <w:tcW w:type="dxa" w:w="212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F6B3A"/>
                <w:sz w:val="18"/>
                <w:szCs w:val="18"/>
              </w:rPr>
              <w:t xml:space="preserve">+520%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F00" w:sz="4"/>
              <w:left w:val="single" w:color="991F00" w:sz="16"/>
              <w:bottom w:val="single" w:color="991F00" w:sz="4"/>
              <w:right w:val="single" w:color="991F00" w:sz="4"/>
            </w:tcBorders>
            <w:shd w:fill="FDF0EC" w:val="clear"/>
            <w:tcMar>
              <w:top w:type="dxa" w:w="120"/>
              <w:left w:type="dxa" w:w="200"/>
              <w:bottom w:type="dxa" w:w="120"/>
              <w:right w:type="dxa" w:w="200"/>
            </w:tcMar>
          </w:tcPr>
          <w:p>
            <w:pPr>
              <w:spacing w:after="80" w:before="0"/>
            </w:pPr>
            <w:r>
              <w:rPr>
                <w:rFonts w:ascii="Arial" w:cs="Arial" w:eastAsia="Arial" w:hAnsi="Arial"/>
                <w:b/>
                <w:bCs/>
                <w:color w:val="991F00"/>
                <w:sz w:val="18"/>
                <w:szCs w:val="18"/>
              </w:rPr>
              <w:t xml:space="preserve">⛔  RISK / CAVEAT — Projection risks</w:t>
            </w:r>
          </w:p>
          <w:p>
            <w:pPr>
              <w:spacing w:after="40" w:before="0"/>
            </w:pPr>
            <w:r>
              <w:rPr>
                <w:rFonts w:ascii="Arial" w:cs="Arial" w:eastAsia="Arial" w:hAnsi="Arial"/>
                <w:color w:val="1A1A1A"/>
                <w:sz w:val="18"/>
                <w:szCs w:val="18"/>
              </w:rPr>
              <w:t xml:space="preserve">All three scenarios assume successful digital acquisition driving test volume growth. Without this, test volume will not grow.</w:t>
            </w:r>
          </w:p>
          <w:p>
            <w:pPr>
              <w:spacing w:after="40" w:before="0"/>
            </w:pPr>
            <w:r>
              <w:rPr>
                <w:rFonts w:ascii="Arial" w:cs="Arial" w:eastAsia="Arial" w:hAnsi="Arial"/>
                <w:color w:val="1A1A1A"/>
                <w:sz w:val="18"/>
                <w:szCs w:val="18"/>
              </w:rPr>
              <w:t xml:space="preserve">The €180/year price has not been tested with Italian consumers, who may be price-sensitive to health subscriptions.</w:t>
            </w:r>
          </w:p>
          <w:p>
            <w:pPr>
              <w:spacing w:after="40" w:before="0"/>
            </w:pPr>
            <w:r>
              <w:rPr>
                <w:rFonts w:ascii="Arial" w:cs="Arial" w:eastAsia="Arial" w:hAnsi="Arial"/>
                <w:color w:val="1A1A1A"/>
                <w:sz w:val="18"/>
                <w:szCs w:val="18"/>
              </w:rPr>
              <w:t xml:space="preserve">Regulatory risk: if GEK Lab’s methodology faces regulatory challenge, the entire platform value proposition is affected.</w:t>
            </w:r>
          </w:p>
        </w:tc>
      </w:tr>
    </w:tbl>
    <w:p>
      <w:pPr>
        <w:spacing w:after="80" w:before="0"/>
      </w:pPr>
      <w:r>
        <w:t xml:space="preserve"/>
      </w:r>
    </w:p>
    <w:p>
      <w:r>
        <w:br w:type="page"/>
      </w:r>
    </w:p>
    <w:p>
      <w:pPr>
        <w:pBdr>
          <w:bottom w:val="single" w:color="1E6B5E" w:sz="10" w:space="6"/>
        </w:pBdr>
        <w:spacing w:after="140" w:before="400"/>
      </w:pPr>
      <w:r>
        <w:rPr>
          <w:rFonts w:ascii="Arial" w:cs="Arial" w:eastAsia="Arial" w:hAnsi="Arial"/>
          <w:b/>
          <w:bCs/>
          <w:color w:val="1A1A1A"/>
          <w:sz w:val="32"/>
          <w:szCs w:val="32"/>
        </w:rPr>
        <w:t xml:space="preserve">7. Strategic Implications</w:t>
      </w:r>
    </w:p>
    <w:p>
      <w:pPr>
        <w:spacing w:after="100" w:before="300"/>
      </w:pPr>
      <w:r>
        <w:rPr>
          <w:rFonts w:ascii="Arial" w:cs="Arial" w:eastAsia="Arial" w:hAnsi="Arial"/>
          <w:b/>
          <w:bCs/>
          <w:color w:val="1E6B5E"/>
          <w:sz w:val="26"/>
          <w:szCs w:val="26"/>
        </w:rPr>
        <w:t xml:space="preserve">The core insight</w:t>
      </w:r>
    </w:p>
    <w:p>
      <w:pPr>
        <w:spacing w:after="100" w:before="40"/>
      </w:pPr>
      <w:r>
        <w:rPr>
          <w:rFonts w:ascii="Arial" w:cs="Arial" w:eastAsia="Arial" w:hAnsi="Arial"/>
          <w:color w:val="1A1A1A"/>
          <w:sz w:val="20"/>
          <w:szCs w:val="20"/>
        </w:rPr>
        <w:t xml:space="preserve">With ~5,000–6,500 customers/year at €290 average, GEK Lab currently generates approximately €1.50 per customer per day. That is the economics of a one-time product, not a health platform. The digital opportunity does not require dramatically more customers — it requires dramatically more value from the customers already being acquired.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Revenue lever</w:t>
            </w:r>
          </w:p>
        </w:tc>
        <w:tc>
          <w:tcPr>
            <w:tcW w:type="dxa" w:w="288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Current</w:t>
            </w:r>
          </w:p>
        </w:tc>
        <w:tc>
          <w:tcPr>
            <w:tcW w:type="dxa" w:w="2880"/>
            <w:tcBorders>
              <w:top w:val="single" w:color="1E6B5E" w:sz="4"/>
              <w:left w:val="single" w:color="1E6B5E" w:sz="4"/>
              <w:bottom w:val="single" w:color="1E6B5E" w:sz="4"/>
              <w:right w:val="single" w:color="1E6B5E" w:sz="4"/>
            </w:tcBorders>
            <w:shd w:fill="1E6B5E" w:val="clear"/>
            <w:tcMar>
              <w:top w:type="dxa" w:w="80"/>
              <w:left w:type="dxa" w:w="140"/>
              <w:bottom w:type="dxa" w:w="80"/>
              <w:right w:type="dxa" w:w="140"/>
            </w:tcMar>
          </w:tcPr>
          <w:p>
            <w:r>
              <w:rPr>
                <w:rFonts w:ascii="Arial" w:cs="Arial" w:eastAsia="Arial" w:hAnsi="Arial"/>
                <w:b/>
                <w:bCs/>
                <w:color w:val="FFFFFF"/>
                <w:sz w:val="18"/>
                <w:szCs w:val="18"/>
              </w:rPr>
              <w:t xml:space="preserve">With digital platform</w:t>
            </w:r>
          </w:p>
        </w:tc>
      </w:tr>
      <w:tr>
        <w:tc>
          <w:tcPr>
            <w:tcW w:type="dxa" w:w="36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One-time test revenue</w:t>
            </w:r>
          </w:p>
        </w:tc>
        <w:tc>
          <w:tcPr>
            <w:tcW w:type="dxa" w:w="28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9B6400"/>
                <w:sz w:val="18"/>
                <w:szCs w:val="18"/>
              </w:rPr>
              <w:t xml:space="preserve">€290/customer</w:t>
            </w:r>
          </w:p>
        </w:tc>
        <w:tc>
          <w:tcPr>
            <w:tcW w:type="dxa" w:w="28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€290/customer (unchanged)</w:t>
            </w:r>
          </w:p>
        </w:tc>
      </w:tr>
      <w:tr>
        <w:tc>
          <w:tcPr>
            <w:tcW w:type="dxa" w:w="360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Subscription revenue</w:t>
            </w:r>
          </w:p>
        </w:tc>
        <w:tc>
          <w:tcPr>
            <w:tcW w:type="dxa" w:w="288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bCs/>
                <w:color w:val="991F00"/>
                <w:sz w:val="18"/>
                <w:szCs w:val="18"/>
              </w:rPr>
              <w:t xml:space="preserve">€0</w:t>
            </w:r>
          </w:p>
        </w:tc>
        <w:tc>
          <w:tcPr>
            <w:tcW w:type="dxa" w:w="2880"/>
            <w:tcBorders>
              <w:top w:val="single" w:color="CCCCAA" w:sz="4"/>
              <w:left w:val="single" w:color="CCCCAA" w:sz="4"/>
              <w:bottom w:val="single" w:color="CCCCAA" w:sz="4"/>
              <w:right w:val="single" w:color="CCCCAA" w:sz="4"/>
            </w:tcBorders>
            <w:shd w:fill="F5F3EE" w:val="clear"/>
            <w:tcMar>
              <w:top w:type="dxa" w:w="80"/>
              <w:left w:type="dxa" w:w="140"/>
              <w:bottom w:type="dxa" w:w="80"/>
              <w:right w:type="dxa" w:w="140"/>
            </w:tcMar>
          </w:tcPr>
          <w:p>
            <w:pPr>
              <w:jc w:val="left"/>
            </w:pPr>
            <w:r>
              <w:rPr>
                <w:rFonts w:ascii="Arial" w:cs="Arial" w:eastAsia="Arial" w:hAnsi="Arial"/>
                <w:b w:val="false"/>
                <w:bCs w:val="false"/>
                <w:color w:val="1E6B5E"/>
                <w:sz w:val="18"/>
                <w:szCs w:val="18"/>
              </w:rPr>
              <w:t xml:space="preserve">€180/yr (30% attach)</w:t>
            </w:r>
          </w:p>
        </w:tc>
      </w:tr>
      <w:tr>
        <w:tc>
          <w:tcPr>
            <w:tcW w:type="dxa" w:w="360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A1A1A"/>
                <w:sz w:val="18"/>
                <w:szCs w:val="18"/>
              </w:rPr>
              <w:t xml:space="preserve">Retest revenue (year 2+)</w:t>
            </w:r>
          </w:p>
        </w:tc>
        <w:tc>
          <w:tcPr>
            <w:tcW w:type="dxa" w:w="28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9B6400"/>
                <w:sz w:val="18"/>
                <w:szCs w:val="18"/>
              </w:rPr>
              <w:t xml:space="preserve">Unknown / near zero</w:t>
            </w:r>
          </w:p>
        </w:tc>
        <w:tc>
          <w:tcPr>
            <w:tcW w:type="dxa" w:w="2880"/>
            <w:tcBorders>
              <w:top w:val="single" w:color="CCCCAA" w:sz="4"/>
              <w:left w:val="single" w:color="CCCCAA" w:sz="4"/>
              <w:bottom w:val="single" w:color="CCCCAA" w:sz="4"/>
              <w:right w:val="single" w:color="CCCCAA" w:sz="4"/>
            </w:tcBorders>
            <w:tcMar>
              <w:top w:type="dxa" w:w="80"/>
              <w:left w:type="dxa" w:w="140"/>
              <w:bottom w:type="dxa" w:w="80"/>
              <w:right w:type="dxa" w:w="140"/>
            </w:tcMar>
          </w:tcPr>
          <w:p>
            <w:pPr>
              <w:jc w:val="left"/>
            </w:pPr>
            <w:r>
              <w:rPr>
                <w:rFonts w:ascii="Arial" w:cs="Arial" w:eastAsia="Arial" w:hAnsi="Arial"/>
                <w:b w:val="false"/>
                <w:bCs w:val="false"/>
                <w:color w:val="1E6B5E"/>
                <w:sz w:val="18"/>
                <w:szCs w:val="18"/>
              </w:rPr>
              <w:t xml:space="preserve">Driven by compliance tracking</w:t>
            </w:r>
          </w:p>
        </w:tc>
      </w:tr>
      <w:tr>
        <w:tc>
          <w:tcPr>
            <w:tcW w:type="dxa" w:w="3600"/>
            <w:tcBorders>
              <w:top w:val="single" w:color="CCCCAA" w:sz="4"/>
              <w:left w:val="single" w:color="CCCCAA" w:sz="4"/>
              <w:bottom w:val="single" w:color="CCCCAA" w:sz="4"/>
              <w:right w:val="single" w:color="CCCCAA" w:sz="4"/>
            </w:tcBorders>
            <w:shd w:fill="E2DDD4" w:val="clear"/>
            <w:tcMar>
              <w:top w:type="dxa" w:w="80"/>
              <w:left w:type="dxa" w:w="140"/>
              <w:bottom w:type="dxa" w:w="80"/>
              <w:right w:type="dxa" w:w="140"/>
            </w:tcMar>
          </w:tcPr>
          <w:p>
            <w:pPr>
              <w:jc w:val="left"/>
            </w:pPr>
            <w:r>
              <w:rPr>
                <w:rFonts w:ascii="Arial" w:cs="Arial" w:eastAsia="Arial" w:hAnsi="Arial"/>
                <w:b/>
                <w:bCs/>
                <w:color w:val="1A1A1A"/>
                <w:sz w:val="18"/>
                <w:szCs w:val="18"/>
              </w:rPr>
              <w:t xml:space="preserve">Est. lifetime value / customer</w:t>
            </w:r>
          </w:p>
        </w:tc>
        <w:tc>
          <w:tcPr>
            <w:tcW w:type="dxa" w:w="2880"/>
            <w:tcBorders>
              <w:top w:val="single" w:color="CCCCAA" w:sz="4"/>
              <w:left w:val="single" w:color="CCCCAA" w:sz="4"/>
              <w:bottom w:val="single" w:color="CCCCAA" w:sz="4"/>
              <w:right w:val="single" w:color="CCCCAA" w:sz="4"/>
            </w:tcBorders>
            <w:shd w:fill="E2DDD4" w:val="clear"/>
            <w:tcMar>
              <w:top w:type="dxa" w:w="80"/>
              <w:left w:type="dxa" w:w="140"/>
              <w:bottom w:type="dxa" w:w="80"/>
              <w:right w:type="dxa" w:w="140"/>
            </w:tcMar>
          </w:tcPr>
          <w:p>
            <w:pPr>
              <w:jc w:val="left"/>
            </w:pPr>
            <w:r>
              <w:rPr>
                <w:rFonts w:ascii="Arial" w:cs="Arial" w:eastAsia="Arial" w:hAnsi="Arial"/>
                <w:b/>
                <w:bCs/>
                <w:color w:val="991F00"/>
                <w:sz w:val="18"/>
                <w:szCs w:val="18"/>
              </w:rPr>
              <w:t xml:space="preserve">~€290 (single test)</w:t>
            </w:r>
          </w:p>
        </w:tc>
        <w:tc>
          <w:tcPr>
            <w:tcW w:type="dxa" w:w="2880"/>
            <w:tcBorders>
              <w:top w:val="single" w:color="CCCCAA" w:sz="4"/>
              <w:left w:val="single" w:color="CCCCAA" w:sz="4"/>
              <w:bottom w:val="single" w:color="CCCCAA" w:sz="4"/>
              <w:right w:val="single" w:color="CCCCAA" w:sz="4"/>
            </w:tcBorders>
            <w:shd w:fill="E2DDD4" w:val="clear"/>
            <w:tcMar>
              <w:top w:type="dxa" w:w="80"/>
              <w:left w:type="dxa" w:w="140"/>
              <w:bottom w:type="dxa" w:w="80"/>
              <w:right w:type="dxa" w:w="140"/>
            </w:tcMar>
          </w:tcPr>
          <w:p>
            <w:pPr>
              <w:jc w:val="left"/>
            </w:pPr>
            <w:r>
              <w:rPr>
                <w:rFonts w:ascii="Arial" w:cs="Arial" w:eastAsia="Arial" w:hAnsi="Arial"/>
                <w:b/>
                <w:bCs/>
                <w:color w:val="1E6B5E"/>
                <w:sz w:val="18"/>
                <w:szCs w:val="18"/>
              </w:rPr>
              <w:t xml:space="preserve">~€650–900 (test + 2yr sub + retest)</w:t>
            </w:r>
          </w:p>
        </w:tc>
      </w:tr>
    </w:tbl>
    <w:p>
      <w:pPr>
        <w:spacing w:after="80" w:before="0"/>
      </w:pPr>
      <w:r>
        <w:t xml:space="preserve"/>
      </w:r>
    </w:p>
    <w:p>
      <w:pPr>
        <w:spacing w:after="100" w:before="40"/>
      </w:pPr>
      <w:r>
        <w:rPr>
          <w:rFonts w:ascii="Arial" w:cs="Arial" w:eastAsia="Arial" w:hAnsi="Arial"/>
          <w:color w:val="1A1A1A"/>
          <w:sz w:val="20"/>
          <w:szCs w:val="20"/>
        </w:rPr>
        <w:t xml:space="preserve">Doubling customer lifetime value from ~€290 to ~€650–900 without increasing acquisition costs is structurally equivalent to doubling the business — at higher margins, because the subscription layer has near-zero incremental lab cost.</w:t>
      </w:r>
    </w:p>
    <w:p>
      <w:pPr>
        <w:spacing w:after="80" w:before="0"/>
      </w:pPr>
      <w:r>
        <w:t xml:space="preserve"/>
      </w:r>
    </w:p>
    <w:p>
      <w:pPr>
        <w:spacing w:after="100" w:before="300"/>
      </w:pPr>
      <w:r>
        <w:rPr>
          <w:rFonts w:ascii="Arial" w:cs="Arial" w:eastAsia="Arial" w:hAnsi="Arial"/>
          <w:b/>
          <w:bCs/>
          <w:color w:val="1E6B5E"/>
          <w:sz w:val="26"/>
          <w:szCs w:val="26"/>
        </w:rPr>
        <w:t xml:space="preserve">BOT structure implication</w:t>
      </w:r>
    </w:p>
    <w:p>
      <w:pPr>
        <w:spacing w:after="100" w:before="40"/>
      </w:pPr>
      <w:r>
        <w:rPr>
          <w:rFonts w:ascii="Arial" w:cs="Arial" w:eastAsia="Arial" w:hAnsi="Arial"/>
          <w:color w:val="1A1A1A"/>
          <w:sz w:val="20"/>
          <w:szCs w:val="20"/>
        </w:rPr>
        <w:t xml:space="preserve">Under a Build-Operate-Transfer model, the digital operator captures subscription revenue and pays GEK Lab a royalty. At the base case (€810K subscription revenue, year 3), a 20% royalty = ~€162K/year for GEK Lab — potentially the difference between a loss and a profit.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6400" w:sz="4"/>
              <w:left w:val="single" w:color="9B6400" w:sz="16"/>
              <w:bottom w:val="single" w:color="9B6400" w:sz="4"/>
              <w:right w:val="single" w:color="9B6400" w:sz="4"/>
            </w:tcBorders>
            <w:shd w:fill="FDF6E3" w:val="clear"/>
            <w:tcMar>
              <w:top w:type="dxa" w:w="120"/>
              <w:left w:type="dxa" w:w="200"/>
              <w:bottom w:type="dxa" w:w="120"/>
              <w:right w:type="dxa" w:w="200"/>
            </w:tcMar>
          </w:tcPr>
          <w:p>
            <w:pPr>
              <w:spacing w:after="80" w:before="0"/>
            </w:pPr>
            <w:r>
              <w:rPr>
                <w:rFonts w:ascii="Arial" w:cs="Arial" w:eastAsia="Arial" w:hAnsi="Arial"/>
                <w:b/>
                <w:bCs/>
                <w:color w:val="9B6400"/>
                <w:sz w:val="18"/>
                <w:szCs w:val="18"/>
              </w:rPr>
              <w:t xml:space="preserve">⚠  ASSUMPTION — BOT royalty note</w:t>
            </w:r>
          </w:p>
          <w:p>
            <w:pPr>
              <w:spacing w:after="40" w:before="0"/>
            </w:pPr>
            <w:r>
              <w:rPr>
                <w:rFonts w:ascii="Arial" w:cs="Arial" w:eastAsia="Arial" w:hAnsi="Arial"/>
                <w:color w:val="1A1A1A"/>
                <w:sz w:val="18"/>
                <w:szCs w:val="18"/>
              </w:rPr>
              <w:t xml:space="preserve">The 20% royalty rate is illustrative and subject to negotiation.</w:t>
            </w:r>
          </w:p>
          <w:p>
            <w:pPr>
              <w:spacing w:after="40" w:before="0"/>
            </w:pPr>
            <w:r>
              <w:rPr>
                <w:rFonts w:ascii="Arial" w:cs="Arial" w:eastAsia="Arial" w:hAnsi="Arial"/>
                <w:color w:val="1A1A1A"/>
                <w:sz w:val="18"/>
                <w:szCs w:val="18"/>
              </w:rPr>
              <w:t xml:space="preserve">GEK Lab’s actual cost base is not known. Whether €162K moves them to profitability cannot be confirmed without a P&amp;L review.</w:t>
            </w:r>
          </w:p>
        </w:tc>
      </w:tr>
    </w:tbl>
    <w:p>
      <w:pPr>
        <w:spacing w:after="80" w:before="0"/>
      </w:pPr>
      <w:r>
        <w:t xml:space="preserve"/>
      </w:r>
    </w:p>
    <w:p>
      <w:pPr>
        <w:spacing w:after="80" w:before="0"/>
      </w:pPr>
      <w:r>
        <w:t xml:space="preserve"/>
      </w:r>
    </w:p>
    <w:p>
      <w:pPr>
        <w:spacing w:after="100" w:before="300"/>
      </w:pPr>
      <w:r>
        <w:rPr>
          <w:rFonts w:ascii="Arial" w:cs="Arial" w:eastAsia="Arial" w:hAnsi="Arial"/>
          <w:b/>
          <w:bCs/>
          <w:color w:val="1E6B5E"/>
          <w:sz w:val="26"/>
          <w:szCs w:val="26"/>
        </w:rPr>
        <w:t xml:space="preserve">Most important unknown</w:t>
      </w:r>
    </w:p>
    <w:p>
      <w:pPr>
        <w:spacing w:after="100" w:before="40"/>
      </w:pPr>
      <w:r>
        <w:rPr>
          <w:rFonts w:ascii="Arial" w:cs="Arial" w:eastAsia="Arial" w:hAnsi="Arial"/>
          <w:color w:val="1A1A1A"/>
          <w:sz w:val="20"/>
          <w:szCs w:val="20"/>
        </w:rPr>
        <w:t xml:space="preserve">The single number that would most improve this analysis is GEK Lab’s actual annual customer count, broken down by product line. All projections scale directly from this number. Obtaining it should be the first priority in any commercial negotiation.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E" w:sz="4"/>
              <w:left w:val="single" w:color="1E6B5E" w:sz="20"/>
              <w:bottom w:val="single" w:color="1E6B5E" w:sz="4"/>
              <w:right w:val="single" w:color="1E6B5E" w:sz="4"/>
            </w:tcBorders>
            <w:shd w:fill="EBF4F1" w:val="clear"/>
            <w:tcMar>
              <w:top w:type="dxa" w:w="140"/>
              <w:left w:type="dxa" w:w="220"/>
              <w:bottom w:type="dxa" w:w="140"/>
              <w:right w:type="dxa" w:w="220"/>
            </w:tcMar>
          </w:tcPr>
          <w:p>
            <w:pPr>
              <w:spacing w:after="80" w:before="0"/>
            </w:pPr>
            <w:r>
              <w:rPr>
                <w:rFonts w:ascii="Arial" w:cs="Arial" w:eastAsia="Arial" w:hAnsi="Arial"/>
                <w:b/>
                <w:bCs/>
                <w:color w:val="1E6B5E"/>
                <w:sz w:val="20"/>
                <w:szCs w:val="20"/>
              </w:rPr>
              <w:t xml:space="preserve">Data to request from GEK Lab before finalising any projections</w:t>
            </w:r>
          </w:p>
          <w:p>
            <w:pPr>
              <w:spacing w:after="50" w:before="0"/>
            </w:pPr>
            <w:r>
              <w:rPr>
                <w:rFonts w:ascii="Arial" w:cs="Arial" w:eastAsia="Arial" w:hAnsi="Arial"/>
                <w:color w:val="1A1A1A"/>
                <w:sz w:val="18"/>
                <w:szCs w:val="18"/>
              </w:rPr>
              <w:t xml:space="preserve">1.  Tests sold per year for the last 3 years, broken down by product line.</w:t>
            </w:r>
          </w:p>
          <w:p>
            <w:pPr>
              <w:spacing w:after="50" w:before="0"/>
            </w:pPr>
            <w:r>
              <w:rPr>
                <w:rFonts w:ascii="Arial" w:cs="Arial" w:eastAsia="Arial" w:hAnsi="Arial"/>
                <w:color w:val="1A1A1A"/>
                <w:sz w:val="18"/>
                <w:szCs w:val="18"/>
              </w:rPr>
              <w:t xml:space="preserve">2.  Direct online sales vs. wholesale through partner centres, and whether wholesale pricing differs from RRP.</w:t>
            </w:r>
          </w:p>
          <w:p>
            <w:pPr>
              <w:spacing w:after="50" w:before="0"/>
            </w:pPr>
            <w:r>
              <w:rPr>
                <w:rFonts w:ascii="Arial" w:cs="Arial" w:eastAsia="Arial" w:hAnsi="Arial"/>
                <w:color w:val="1A1A1A"/>
                <w:sz w:val="18"/>
                <w:szCs w:val="18"/>
              </w:rPr>
              <w:t xml:space="preserve">3.  Retest rate — what percentage of customers repeat a test within 12 months?</w:t>
            </w:r>
          </w:p>
          <w:p>
            <w:pPr>
              <w:spacing w:after="50" w:before="0"/>
            </w:pPr>
            <w:r>
              <w:rPr>
                <w:rFonts w:ascii="Arial" w:cs="Arial" w:eastAsia="Arial" w:hAnsi="Arial"/>
                <w:color w:val="1A1A1A"/>
                <w:sz w:val="18"/>
                <w:szCs w:val="18"/>
              </w:rPr>
              <w:t xml:space="preserve">4.  myGEKLab usage rate — what percentage of test customers actively use the digital service?</w:t>
            </w:r>
          </w:p>
          <w:p>
            <w:pPr>
              <w:spacing w:after="0" w:before="0"/>
            </w:pPr>
            <w:r>
              <w:rPr>
                <w:rFonts w:ascii="Arial" w:cs="Arial" w:eastAsia="Arial" w:hAnsi="Arial"/>
                <w:color w:val="1A1A1A"/>
                <w:sz w:val="18"/>
                <w:szCs w:val="18"/>
              </w:rPr>
              <w:t xml:space="preserve">5.  Cost structure — fixed vs. variable, to model the path from loss-making to breakeven under the BOT structure.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B5E" w:sz="4" w:space="4"/>
      </w:pBdr>
      <w:tabs>
        <w:tab w:val="right" w:pos="9026"/>
      </w:tabs>
      <w:spacing w:after="0" w:before="120"/>
    </w:pPr>
    <w:r>
      <w:rPr>
        <w:rFonts w:ascii="Arial" w:cs="Arial" w:eastAsia="Arial" w:hAnsi="Arial"/>
        <w:i/>
        <w:iCs/>
        <w:color w:val="AAAAAA"/>
        <w:sz w:val="16"/>
        <w:szCs w:val="16"/>
      </w:rPr>
      <w:t xml:space="preserve">⚠ Assumptions clearly labelled. Verify all figures with GEK Lab before using in negotiations.</w:t>
    </w:r>
    <w:r>
      <w:rPr>
        <w:rFonts w:ascii="Arial" w:cs="Arial" w:eastAsia="Arial" w:hAnsi="Arial"/>
        <w:color w:val="AAAAAA"/>
        <w:sz w:val="16"/>
        <w:szCs w:val="16"/>
      </w:rPr>
      <w:t xml:space="preserve">	Page </w:t>
    </w:r>
    <w:r>
      <w:rPr>
        <w:rFonts w:ascii="Arial" w:cs="Arial" w:eastAsia="Arial" w:hAnsi="Arial"/>
        <w:color w:val="1E6B5E"/>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B5E" w:sz="4" w:space="4"/>
      </w:pBdr>
      <w:tabs>
        <w:tab w:val="right" w:pos="9026"/>
      </w:tabs>
      <w:spacing w:after="120" w:before="0"/>
    </w:pPr>
    <w:r>
      <w:rPr>
        <w:rFonts w:ascii="Arial" w:cs="Arial" w:eastAsia="Arial" w:hAnsi="Arial"/>
        <w:b/>
        <w:bCs/>
        <w:color w:val="1E6B5E"/>
        <w:sz w:val="18"/>
        <w:szCs w:val="18"/>
      </w:rPr>
      <w:t xml:space="preserve">GEK Lab — Market Sizing &amp; Revenue Analysis</w:t>
    </w:r>
    <w:r>
      <w:rPr>
        <w:rFonts w:ascii="Arial" w:cs="Arial" w:eastAsia="Arial" w:hAnsi="Arial"/>
        <w:color w:val="AAAAAA"/>
        <w:sz w:val="18"/>
        <w:szCs w:val="18"/>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2026-03-09T14:56:34.146Z</dcterms:created>
  <dcterms:modified xsi:type="dcterms:W3CDTF">2026-03-09T14:56:34.147Z</dcterms:modified>
</cp:coreProperties>
</file>

<file path=docProps/custom.xml><?xml version="1.0" encoding="utf-8"?>
<Properties xmlns="http://schemas.openxmlformats.org/officeDocument/2006/custom-properties" xmlns:vt="http://schemas.openxmlformats.org/officeDocument/2006/docPropsVTypes"/>
</file>