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C3780" w14:textId="77777777" w:rsidR="00705A6B" w:rsidRDefault="002B3839">
      <w:pPr>
        <w:spacing w:before="440" w:after="0"/>
        <w:jc w:val="center"/>
      </w:pPr>
      <w:r>
        <w:rPr>
          <w:color w:val="17354A"/>
          <w:sz w:val="32"/>
        </w:rPr>
        <w:t>UNIVERSITÀ TELEMATICA PEGASO</w:t>
      </w:r>
    </w:p>
    <w:p w14:paraId="13BA1B05" w14:textId="77777777" w:rsidR="00705A6B" w:rsidRDefault="002B3839">
      <w:pPr>
        <w:spacing w:after="0"/>
        <w:jc w:val="center"/>
      </w:pPr>
      <w:r>
        <w:rPr>
          <w:color w:val="536875"/>
        </w:rPr>
        <w:t>Corso di Laurea Triennale in Informatica per le aziende digitali - L-31</w:t>
      </w:r>
    </w:p>
    <w:p w14:paraId="65AB497C" w14:textId="77777777" w:rsidR="00705A6B" w:rsidRDefault="002B3839">
      <w:pPr>
        <w:spacing w:before="600" w:after="0"/>
        <w:jc w:val="center"/>
      </w:pPr>
      <w:r>
        <w:rPr>
          <w:color w:val="17354A"/>
          <w:sz w:val="44"/>
        </w:rPr>
        <w:t>RELAZIONE TECNICA FRONTEND APPLICATIVO</w:t>
      </w:r>
    </w:p>
    <w:p w14:paraId="772EFC80" w14:textId="77777777" w:rsidR="00705A6B" w:rsidRDefault="002B3839">
      <w:pPr>
        <w:spacing w:before="160" w:after="0"/>
        <w:jc w:val="center"/>
      </w:pPr>
      <w:r>
        <w:rPr>
          <w:color w:val="2E6B7A"/>
          <w:sz w:val="30"/>
        </w:rPr>
        <w:t>Architettura dell’interfaccia, navigazione, integrazione Supabase e flussi operativi</w:t>
      </w:r>
    </w:p>
    <w:p w14:paraId="6099AE43" w14:textId="77777777" w:rsidR="00705A6B" w:rsidRDefault="002B3839">
      <w:pPr>
        <w:spacing w:before="600" w:after="0"/>
        <w:jc w:val="center"/>
      </w:pPr>
      <w:r>
        <w:t>Project Work n. 19 - Tema 2: Privacy e sicurezza aziendale</w:t>
      </w:r>
    </w:p>
    <w:p w14:paraId="02BF329C" w14:textId="77777777" w:rsidR="00705A6B" w:rsidRDefault="002B3839">
      <w:pPr>
        <w:spacing w:after="0"/>
        <w:jc w:val="center"/>
      </w:pPr>
      <w:r>
        <w:t>Applicazione web per la gestione centralizzata di soggetti NIS2, asset, servizi, dipendenze, incidenti e Assessment FNCSDP</w:t>
      </w:r>
    </w:p>
    <w:p w14:paraId="7C053E38" w14:textId="77777777" w:rsidR="00705A6B" w:rsidRDefault="002B3839">
      <w:pPr>
        <w:spacing w:before="680" w:after="0"/>
        <w:jc w:val="center"/>
      </w:pPr>
      <w:r>
        <w:t>Autore: Gianluca Lucarelli</w:t>
      </w:r>
    </w:p>
    <w:p w14:paraId="7030E959" w14:textId="46D20E5B" w:rsidR="00705A6B" w:rsidRDefault="002B3839">
      <w:pPr>
        <w:spacing w:after="0"/>
        <w:jc w:val="center"/>
      </w:pPr>
      <w:r>
        <w:t xml:space="preserve">Versione 1.0 </w:t>
      </w:r>
    </w:p>
    <w:p w14:paraId="1F74E79B" w14:textId="77777777" w:rsidR="00705A6B" w:rsidRDefault="002B3839">
      <w:pPr>
        <w:spacing w:before="320" w:after="0"/>
        <w:jc w:val="center"/>
      </w:pPr>
      <w:r>
        <w:rPr>
          <w:i/>
          <w:color w:val="536875"/>
          <w:sz w:val="22"/>
        </w:rPr>
        <w:t>Allegato tecnico di approfondimento al documento principale del Project Work</w:t>
      </w:r>
    </w:p>
    <w:p w14:paraId="62E5EAEA" w14:textId="77777777" w:rsidR="00705A6B" w:rsidRDefault="002B3839">
      <w:r>
        <w:br w:type="page"/>
      </w:r>
    </w:p>
    <w:p w14:paraId="29720965" w14:textId="77777777" w:rsidR="00705A6B" w:rsidRPr="00BB20CC" w:rsidRDefault="002B3839">
      <w:pPr>
        <w:pStyle w:val="Titolo1"/>
        <w:rPr>
          <w:rFonts w:ascii="Times New Roman" w:hAnsi="Times New Roman" w:cs="Times New Roman"/>
          <w:sz w:val="24"/>
          <w:szCs w:val="24"/>
        </w:rPr>
      </w:pPr>
      <w:bookmarkStart w:id="0" w:name="nota"/>
      <w:r w:rsidRPr="00BB20CC">
        <w:rPr>
          <w:rFonts w:ascii="Times New Roman" w:hAnsi="Times New Roman" w:cs="Times New Roman"/>
          <w:sz w:val="24"/>
          <w:szCs w:val="24"/>
        </w:rPr>
        <w:lastRenderedPageBreak/>
        <w:t xml:space="preserve">Nota </w:t>
      </w:r>
      <w:proofErr w:type="spellStart"/>
      <w:r w:rsidRPr="00BB20CC">
        <w:rPr>
          <w:rFonts w:ascii="Times New Roman" w:hAnsi="Times New Roman" w:cs="Times New Roman"/>
          <w:sz w:val="24"/>
          <w:szCs w:val="24"/>
        </w:rPr>
        <w:t>sul</w:t>
      </w:r>
      <w:proofErr w:type="spellEnd"/>
      <w:r w:rsidRPr="00BB2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0CC">
        <w:rPr>
          <w:rFonts w:ascii="Times New Roman" w:hAnsi="Times New Roman" w:cs="Times New Roman"/>
          <w:sz w:val="24"/>
          <w:szCs w:val="24"/>
        </w:rPr>
        <w:t>documento</w:t>
      </w:r>
      <w:bookmarkEnd w:id="0"/>
      <w:proofErr w:type="spellEnd"/>
    </w:p>
    <w:p w14:paraId="16DF413C" w14:textId="77777777" w:rsidR="00705A6B" w:rsidRDefault="002B3839">
      <w:r>
        <w:t>La presente relazione costituisce l’allegato tecnico dedicato al frontend del Project Work. Il documento principale del PW rimane il riferimento per la presentazione complessiva del progetto; questa relazione descrive invece l’architettura dell’interfaccia web, la navigazione, l’integrazione con Supabase, i moduli operativi, le esportazioni e le verifiche funzionali eseguite sulla versione pubblicata tramite GitHub Pages.</w:t>
      </w:r>
    </w:p>
    <w:p w14:paraId="0DD65099" w14:textId="3B4E53A1" w:rsidR="00705A6B" w:rsidRDefault="002B3839">
      <w:r>
        <w:t xml:space="preserve">La versione 1.0 documenta lo stato finale collaudato il 30 luglio 2026. Il frontend è sviluppato con HTML5, CSS e JavaScript modulare, utilizza una navigazione basata su hash, integra autenticazione Supabase, livelli AAL/MFA, funzioni RPC e policy RLS del backend, e comprende i flussi completi per soggetti NIS2, inventario, servizi, fornitori, Supply Chain, incidenti, Audit Log e Assessment FNCSDP. La build di chiusura utilizzata per il controllo </w:t>
      </w:r>
      <w:proofErr w:type="spellStart"/>
      <w:r>
        <w:t>conclusivo</w:t>
      </w:r>
      <w:proofErr w:type="spellEnd"/>
      <w:r>
        <w:t xml:space="preserve"> è la </w:t>
      </w:r>
      <w:r w:rsidR="00BC1B28">
        <w:t>20260730-f11</w:t>
      </w:r>
      <w:r>
        <w:t>.</w:t>
      </w:r>
    </w:p>
    <w:p w14:paraId="09A28273" w14:textId="77777777" w:rsidR="00705A6B" w:rsidRDefault="002B3839">
      <w:pPr>
        <w:pStyle w:val="Titolo1"/>
      </w:pPr>
      <w:bookmarkStart w:id="1" w:name="toc"/>
      <w:proofErr w:type="spellStart"/>
      <w:r w:rsidRPr="00BB20CC">
        <w:rPr>
          <w:rFonts w:ascii="Times New Roman" w:hAnsi="Times New Roman" w:cs="Times New Roman"/>
          <w:sz w:val="24"/>
          <w:szCs w:val="24"/>
        </w:rPr>
        <w:t>Indice</w:t>
      </w:r>
      <w:proofErr w:type="spellEnd"/>
      <w:r w:rsidRPr="00BB2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0CC">
        <w:rPr>
          <w:rFonts w:ascii="Times New Roman" w:hAnsi="Times New Roman" w:cs="Times New Roman"/>
          <w:sz w:val="24"/>
          <w:szCs w:val="24"/>
        </w:rPr>
        <w:t>dei</w:t>
      </w:r>
      <w:proofErr w:type="spellEnd"/>
      <w:r w:rsidRPr="00BB20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0CC">
        <w:rPr>
          <w:rFonts w:ascii="Times New Roman" w:hAnsi="Times New Roman" w:cs="Times New Roman"/>
          <w:sz w:val="24"/>
          <w:szCs w:val="24"/>
        </w:rPr>
        <w:t>contenuti</w:t>
      </w:r>
      <w:bookmarkEnd w:id="1"/>
      <w:proofErr w:type="spellEnd"/>
    </w:p>
    <w:p w14:paraId="6F027448" w14:textId="77777777" w:rsidR="00705A6B" w:rsidRDefault="00CC0E4A">
      <w:pPr>
        <w:spacing w:after="0" w:line="216" w:lineRule="auto"/>
      </w:pPr>
      <w:hyperlink w:anchor="s1">
        <w:r w:rsidR="002B3839">
          <w:rPr>
            <w:color w:val="2E6B7A"/>
            <w:sz w:val="18"/>
            <w:u w:val="single"/>
          </w:rPr>
          <w:t>1. Finalità e perimetro della relazione</w:t>
        </w:r>
      </w:hyperlink>
    </w:p>
    <w:p w14:paraId="4C33EDE9" w14:textId="77777777" w:rsidR="00705A6B" w:rsidRDefault="00CC0E4A">
      <w:pPr>
        <w:spacing w:after="0" w:line="216" w:lineRule="auto"/>
      </w:pPr>
      <w:hyperlink w:anchor="s2">
        <w:r w:rsidR="002B3839">
          <w:rPr>
            <w:color w:val="2E6B7A"/>
            <w:sz w:val="18"/>
            <w:u w:val="single"/>
          </w:rPr>
          <w:t>2. Architettura frontend e organizzazione del codice</w:t>
        </w:r>
      </w:hyperlink>
    </w:p>
    <w:p w14:paraId="7F3AD1F1" w14:textId="77777777" w:rsidR="00705A6B" w:rsidRDefault="00CC0E4A">
      <w:pPr>
        <w:spacing w:after="0" w:line="216" w:lineRule="auto"/>
        <w:ind w:left="360"/>
      </w:pPr>
      <w:hyperlink w:anchor="s21">
        <w:r w:rsidR="002B3839">
          <w:rPr>
            <w:color w:val="2E6B7A"/>
            <w:sz w:val="16"/>
            <w:u w:val="single"/>
          </w:rPr>
          <w:t xml:space="preserve">2.1 </w:t>
        </w:r>
        <w:proofErr w:type="spellStart"/>
        <w:r w:rsidR="002B3839">
          <w:rPr>
            <w:color w:val="2E6B7A"/>
            <w:sz w:val="16"/>
            <w:u w:val="single"/>
          </w:rPr>
          <w:t>Struttura</w:t>
        </w:r>
        <w:proofErr w:type="spellEnd"/>
        <w:r w:rsidR="002B3839">
          <w:rPr>
            <w:color w:val="2E6B7A"/>
            <w:sz w:val="16"/>
            <w:u w:val="single"/>
          </w:rPr>
          <w:t xml:space="preserve"> </w:t>
        </w:r>
        <w:proofErr w:type="spellStart"/>
        <w:r w:rsidR="002B3839">
          <w:rPr>
            <w:color w:val="2E6B7A"/>
            <w:sz w:val="16"/>
            <w:u w:val="single"/>
          </w:rPr>
          <w:t>della</w:t>
        </w:r>
        <w:proofErr w:type="spellEnd"/>
        <w:r w:rsidR="002B3839">
          <w:rPr>
            <w:color w:val="2E6B7A"/>
            <w:sz w:val="16"/>
            <w:u w:val="single"/>
          </w:rPr>
          <w:t xml:space="preserve"> </w:t>
        </w:r>
        <w:proofErr w:type="spellStart"/>
        <w:r w:rsidR="002B3839">
          <w:rPr>
            <w:color w:val="2E6B7A"/>
            <w:sz w:val="16"/>
            <w:u w:val="single"/>
          </w:rPr>
          <w:t>pagina</w:t>
        </w:r>
        <w:proofErr w:type="spellEnd"/>
        <w:r w:rsidR="002B3839">
          <w:rPr>
            <w:color w:val="2E6B7A"/>
            <w:sz w:val="16"/>
            <w:u w:val="single"/>
          </w:rPr>
          <w:t xml:space="preserve"> e componenti condivisi</w:t>
        </w:r>
      </w:hyperlink>
    </w:p>
    <w:p w14:paraId="0E9503A3" w14:textId="77777777" w:rsidR="00705A6B" w:rsidRDefault="00CC0E4A">
      <w:pPr>
        <w:spacing w:after="0" w:line="216" w:lineRule="auto"/>
        <w:ind w:left="360"/>
      </w:pPr>
      <w:hyperlink w:anchor="s22">
        <w:r w:rsidR="002B3839">
          <w:rPr>
            <w:color w:val="2E6B7A"/>
            <w:sz w:val="16"/>
            <w:u w:val="single"/>
          </w:rPr>
          <w:t xml:space="preserve">2.2 Moduli JavaScript </w:t>
        </w:r>
        <w:proofErr w:type="spellStart"/>
        <w:r w:rsidR="002B3839">
          <w:rPr>
            <w:color w:val="2E6B7A"/>
            <w:sz w:val="16"/>
            <w:u w:val="single"/>
          </w:rPr>
          <w:t>principali</w:t>
        </w:r>
        <w:proofErr w:type="spellEnd"/>
      </w:hyperlink>
    </w:p>
    <w:p w14:paraId="05B94C13" w14:textId="77777777" w:rsidR="00705A6B" w:rsidRDefault="00CC0E4A">
      <w:pPr>
        <w:spacing w:after="0" w:line="216" w:lineRule="auto"/>
        <w:ind w:left="360"/>
      </w:pPr>
      <w:hyperlink w:anchor="s23">
        <w:r w:rsidR="002B3839">
          <w:rPr>
            <w:color w:val="2E6B7A"/>
            <w:sz w:val="16"/>
            <w:u w:val="single"/>
          </w:rPr>
          <w:t xml:space="preserve">2.3 </w:t>
        </w:r>
        <w:proofErr w:type="spellStart"/>
        <w:r w:rsidR="002B3839">
          <w:rPr>
            <w:color w:val="2E6B7A"/>
            <w:sz w:val="16"/>
            <w:u w:val="single"/>
          </w:rPr>
          <w:t>Fogli</w:t>
        </w:r>
        <w:proofErr w:type="spellEnd"/>
        <w:r w:rsidR="002B3839">
          <w:rPr>
            <w:color w:val="2E6B7A"/>
            <w:sz w:val="16"/>
            <w:u w:val="single"/>
          </w:rPr>
          <w:t xml:space="preserve"> di stile e risorse grafiche</w:t>
        </w:r>
      </w:hyperlink>
    </w:p>
    <w:p w14:paraId="30A82FCC" w14:textId="77777777" w:rsidR="00705A6B" w:rsidRDefault="00CC0E4A">
      <w:pPr>
        <w:spacing w:after="0" w:line="216" w:lineRule="auto"/>
      </w:pPr>
      <w:hyperlink w:anchor="s3">
        <w:r w:rsidR="002B3839">
          <w:rPr>
            <w:color w:val="2E6B7A"/>
            <w:sz w:val="18"/>
            <w:u w:val="single"/>
          </w:rPr>
          <w:t>3. Tecnologie, pubblicazione e integrazione</w:t>
        </w:r>
      </w:hyperlink>
    </w:p>
    <w:p w14:paraId="3F3E761B" w14:textId="77777777" w:rsidR="00705A6B" w:rsidRDefault="00CC0E4A">
      <w:pPr>
        <w:spacing w:after="0" w:line="216" w:lineRule="auto"/>
      </w:pPr>
      <w:hyperlink w:anchor="s4">
        <w:r w:rsidR="002B3839">
          <w:rPr>
            <w:color w:val="2E6B7A"/>
            <w:sz w:val="18"/>
            <w:u w:val="single"/>
          </w:rPr>
          <w:t>4. Home pubblica, identità visiva e accesso</w:t>
        </w:r>
      </w:hyperlink>
    </w:p>
    <w:p w14:paraId="5A45D135" w14:textId="77777777" w:rsidR="00705A6B" w:rsidRDefault="00CC0E4A">
      <w:pPr>
        <w:spacing w:after="0" w:line="216" w:lineRule="auto"/>
      </w:pPr>
      <w:hyperlink w:anchor="s5">
        <w:r w:rsidR="002B3839">
          <w:rPr>
            <w:color w:val="2E6B7A"/>
            <w:sz w:val="18"/>
            <w:u w:val="single"/>
          </w:rPr>
          <w:t>5. Autenticazione, sessione e controllo operativo</w:t>
        </w:r>
      </w:hyperlink>
    </w:p>
    <w:p w14:paraId="4377D192" w14:textId="77777777" w:rsidR="00705A6B" w:rsidRDefault="00CC0E4A">
      <w:pPr>
        <w:spacing w:after="0" w:line="216" w:lineRule="auto"/>
      </w:pPr>
      <w:hyperlink w:anchor="s6">
        <w:r w:rsidR="002B3839">
          <w:rPr>
            <w:color w:val="2E6B7A"/>
            <w:sz w:val="18"/>
            <w:u w:val="single"/>
          </w:rPr>
          <w:t>6. Architettura di navigazione</w:t>
        </w:r>
      </w:hyperlink>
    </w:p>
    <w:p w14:paraId="66AF966B" w14:textId="77777777" w:rsidR="00705A6B" w:rsidRDefault="00CC0E4A">
      <w:pPr>
        <w:spacing w:after="0" w:line="216" w:lineRule="auto"/>
      </w:pPr>
      <w:hyperlink w:anchor="s7">
        <w:r w:rsidR="002B3839">
          <w:rPr>
            <w:color w:val="2E6B7A"/>
            <w:sz w:val="18"/>
            <w:u w:val="single"/>
          </w:rPr>
          <w:t>7. Area applicativa, layout e usabilità</w:t>
        </w:r>
      </w:hyperlink>
    </w:p>
    <w:p w14:paraId="792A728A" w14:textId="77777777" w:rsidR="00705A6B" w:rsidRDefault="00CC0E4A">
      <w:pPr>
        <w:spacing w:after="0" w:line="216" w:lineRule="auto"/>
      </w:pPr>
      <w:hyperlink w:anchor="s8">
        <w:r w:rsidR="002B3839">
          <w:rPr>
            <w:color w:val="2E6B7A"/>
            <w:sz w:val="18"/>
            <w:u w:val="single"/>
          </w:rPr>
          <w:t>8. Moduli operativi</w:t>
        </w:r>
      </w:hyperlink>
    </w:p>
    <w:p w14:paraId="6C791902" w14:textId="4D8B4919" w:rsidR="00705A6B" w:rsidRDefault="00CC0E4A">
      <w:pPr>
        <w:spacing w:after="0" w:line="216" w:lineRule="auto"/>
        <w:ind w:left="360"/>
      </w:pPr>
      <w:hyperlink w:anchor="s81">
        <w:r w:rsidR="002B3839">
          <w:rPr>
            <w:color w:val="2E6B7A"/>
            <w:sz w:val="16"/>
            <w:u w:val="single"/>
          </w:rPr>
          <w:t xml:space="preserve">8.1 </w:t>
        </w:r>
        <w:r w:rsidR="00C01A60">
          <w:rPr>
            <w:color w:val="2E6B7A"/>
            <w:sz w:val="16"/>
            <w:u w:val="single"/>
          </w:rPr>
          <w:t>Dashboard</w:t>
        </w:r>
        <w:r w:rsidR="002B3839">
          <w:rPr>
            <w:color w:val="2E6B7A"/>
            <w:sz w:val="16"/>
            <w:u w:val="single"/>
          </w:rPr>
          <w:t xml:space="preserve"> </w:t>
        </w:r>
        <w:proofErr w:type="spellStart"/>
        <w:r w:rsidR="002B3839">
          <w:rPr>
            <w:color w:val="2E6B7A"/>
            <w:sz w:val="16"/>
            <w:u w:val="single"/>
          </w:rPr>
          <w:t>operativa</w:t>
        </w:r>
        <w:proofErr w:type="spellEnd"/>
      </w:hyperlink>
    </w:p>
    <w:p w14:paraId="7CC14BBF" w14:textId="77777777" w:rsidR="00705A6B" w:rsidRDefault="00CC0E4A">
      <w:pPr>
        <w:spacing w:after="0" w:line="216" w:lineRule="auto"/>
        <w:ind w:left="360"/>
      </w:pPr>
      <w:hyperlink w:anchor="s82">
        <w:r w:rsidR="002B3839">
          <w:rPr>
            <w:color w:val="2E6B7A"/>
            <w:sz w:val="16"/>
            <w:u w:val="single"/>
          </w:rPr>
          <w:t xml:space="preserve">8.2 </w:t>
        </w:r>
        <w:proofErr w:type="spellStart"/>
        <w:r w:rsidR="002B3839">
          <w:rPr>
            <w:color w:val="2E6B7A"/>
            <w:sz w:val="16"/>
            <w:u w:val="single"/>
          </w:rPr>
          <w:t>Azienda</w:t>
        </w:r>
        <w:proofErr w:type="spellEnd"/>
        <w:r w:rsidR="002B3839">
          <w:rPr>
            <w:color w:val="2E6B7A"/>
            <w:sz w:val="16"/>
            <w:u w:val="single"/>
          </w:rPr>
          <w:t xml:space="preserve"> e </w:t>
        </w:r>
        <w:proofErr w:type="spellStart"/>
        <w:r w:rsidR="002B3839">
          <w:rPr>
            <w:color w:val="2E6B7A"/>
            <w:sz w:val="16"/>
            <w:u w:val="single"/>
          </w:rPr>
          <w:t>soggetti</w:t>
        </w:r>
        <w:proofErr w:type="spellEnd"/>
        <w:r w:rsidR="002B3839">
          <w:rPr>
            <w:color w:val="2E6B7A"/>
            <w:sz w:val="16"/>
            <w:u w:val="single"/>
          </w:rPr>
          <w:t xml:space="preserve"> NIS2</w:t>
        </w:r>
      </w:hyperlink>
    </w:p>
    <w:p w14:paraId="1E83DF7E" w14:textId="77777777" w:rsidR="00705A6B" w:rsidRDefault="00CC0E4A">
      <w:pPr>
        <w:spacing w:after="0" w:line="216" w:lineRule="auto"/>
        <w:ind w:left="360"/>
      </w:pPr>
      <w:hyperlink w:anchor="s83">
        <w:r w:rsidR="002B3839">
          <w:rPr>
            <w:color w:val="2E6B7A"/>
            <w:sz w:val="16"/>
            <w:u w:val="single"/>
          </w:rPr>
          <w:t xml:space="preserve">8.3 </w:t>
        </w:r>
        <w:proofErr w:type="spellStart"/>
        <w:r w:rsidR="002B3839">
          <w:rPr>
            <w:color w:val="2E6B7A"/>
            <w:sz w:val="16"/>
            <w:u w:val="single"/>
          </w:rPr>
          <w:t>Inventario</w:t>
        </w:r>
        <w:proofErr w:type="spellEnd"/>
        <w:r w:rsidR="002B3839">
          <w:rPr>
            <w:color w:val="2E6B7A"/>
            <w:sz w:val="16"/>
            <w:u w:val="single"/>
          </w:rPr>
          <w:t xml:space="preserve"> e </w:t>
        </w:r>
        <w:proofErr w:type="spellStart"/>
        <w:r w:rsidR="002B3839">
          <w:rPr>
            <w:color w:val="2E6B7A"/>
            <w:sz w:val="16"/>
            <w:u w:val="single"/>
          </w:rPr>
          <w:t>archiviazione</w:t>
        </w:r>
        <w:proofErr w:type="spellEnd"/>
        <w:r w:rsidR="002B3839">
          <w:rPr>
            <w:color w:val="2E6B7A"/>
            <w:sz w:val="16"/>
            <w:u w:val="single"/>
          </w:rPr>
          <w:t xml:space="preserve"> </w:t>
        </w:r>
        <w:proofErr w:type="spellStart"/>
        <w:r w:rsidR="002B3839">
          <w:rPr>
            <w:color w:val="2E6B7A"/>
            <w:sz w:val="16"/>
            <w:u w:val="single"/>
          </w:rPr>
          <w:t>logica</w:t>
        </w:r>
        <w:proofErr w:type="spellEnd"/>
      </w:hyperlink>
    </w:p>
    <w:p w14:paraId="4421970D" w14:textId="77777777" w:rsidR="00705A6B" w:rsidRDefault="00CC0E4A">
      <w:pPr>
        <w:spacing w:after="0" w:line="216" w:lineRule="auto"/>
        <w:ind w:left="360"/>
      </w:pPr>
      <w:hyperlink w:anchor="s84">
        <w:r w:rsidR="002B3839">
          <w:rPr>
            <w:color w:val="2E6B7A"/>
            <w:sz w:val="16"/>
            <w:u w:val="single"/>
          </w:rPr>
          <w:t xml:space="preserve">8.4 </w:t>
        </w:r>
        <w:proofErr w:type="spellStart"/>
        <w:r w:rsidR="002B3839">
          <w:rPr>
            <w:color w:val="2E6B7A"/>
            <w:sz w:val="16"/>
            <w:u w:val="single"/>
          </w:rPr>
          <w:t>Servizi</w:t>
        </w:r>
        <w:proofErr w:type="spellEnd"/>
        <w:r w:rsidR="002B3839">
          <w:rPr>
            <w:color w:val="2E6B7A"/>
            <w:sz w:val="16"/>
            <w:u w:val="single"/>
          </w:rPr>
          <w:t xml:space="preserve"> e </w:t>
        </w:r>
        <w:proofErr w:type="spellStart"/>
        <w:r w:rsidR="002B3839">
          <w:rPr>
            <w:color w:val="2E6B7A"/>
            <w:sz w:val="16"/>
            <w:u w:val="single"/>
          </w:rPr>
          <w:t>fornitori</w:t>
        </w:r>
        <w:proofErr w:type="spellEnd"/>
      </w:hyperlink>
    </w:p>
    <w:p w14:paraId="57ACA2FD" w14:textId="77777777" w:rsidR="00705A6B" w:rsidRDefault="00CC0E4A">
      <w:pPr>
        <w:spacing w:after="0" w:line="216" w:lineRule="auto"/>
        <w:ind w:left="360"/>
      </w:pPr>
      <w:hyperlink w:anchor="s85">
        <w:r w:rsidR="002B3839">
          <w:rPr>
            <w:color w:val="2E6B7A"/>
            <w:sz w:val="16"/>
            <w:u w:val="single"/>
          </w:rPr>
          <w:t xml:space="preserve">8.5 </w:t>
        </w:r>
        <w:proofErr w:type="spellStart"/>
        <w:r w:rsidR="002B3839">
          <w:rPr>
            <w:color w:val="2E6B7A"/>
            <w:sz w:val="16"/>
            <w:u w:val="single"/>
          </w:rPr>
          <w:t>Relazioni</w:t>
        </w:r>
        <w:proofErr w:type="spellEnd"/>
        <w:r w:rsidR="002B3839">
          <w:rPr>
            <w:color w:val="2E6B7A"/>
            <w:sz w:val="16"/>
            <w:u w:val="single"/>
          </w:rPr>
          <w:t xml:space="preserve"> e Supply Chain</w:t>
        </w:r>
      </w:hyperlink>
    </w:p>
    <w:p w14:paraId="14F5B8E0" w14:textId="77777777" w:rsidR="00705A6B" w:rsidRDefault="00CC0E4A">
      <w:pPr>
        <w:spacing w:after="0" w:line="216" w:lineRule="auto"/>
        <w:ind w:left="360"/>
      </w:pPr>
      <w:hyperlink w:anchor="s86">
        <w:r w:rsidR="002B3839">
          <w:rPr>
            <w:color w:val="2E6B7A"/>
            <w:sz w:val="16"/>
            <w:u w:val="single"/>
          </w:rPr>
          <w:t xml:space="preserve">8.6 </w:t>
        </w:r>
        <w:proofErr w:type="spellStart"/>
        <w:r w:rsidR="002B3839">
          <w:rPr>
            <w:color w:val="2E6B7A"/>
            <w:sz w:val="16"/>
            <w:u w:val="single"/>
          </w:rPr>
          <w:t>Gestione</w:t>
        </w:r>
        <w:proofErr w:type="spellEnd"/>
        <w:r w:rsidR="002B3839">
          <w:rPr>
            <w:color w:val="2E6B7A"/>
            <w:sz w:val="16"/>
            <w:u w:val="single"/>
          </w:rPr>
          <w:t xml:space="preserve"> </w:t>
        </w:r>
        <w:proofErr w:type="spellStart"/>
        <w:r w:rsidR="002B3839">
          <w:rPr>
            <w:color w:val="2E6B7A"/>
            <w:sz w:val="16"/>
            <w:u w:val="single"/>
          </w:rPr>
          <w:t>degli</w:t>
        </w:r>
        <w:proofErr w:type="spellEnd"/>
        <w:r w:rsidR="002B3839">
          <w:rPr>
            <w:color w:val="2E6B7A"/>
            <w:sz w:val="16"/>
            <w:u w:val="single"/>
          </w:rPr>
          <w:t xml:space="preserve"> </w:t>
        </w:r>
        <w:proofErr w:type="spellStart"/>
        <w:r w:rsidR="002B3839">
          <w:rPr>
            <w:color w:val="2E6B7A"/>
            <w:sz w:val="16"/>
            <w:u w:val="single"/>
          </w:rPr>
          <w:t>incidenti</w:t>
        </w:r>
        <w:proofErr w:type="spellEnd"/>
      </w:hyperlink>
    </w:p>
    <w:p w14:paraId="31C2319B" w14:textId="77777777" w:rsidR="00705A6B" w:rsidRDefault="00CC0E4A">
      <w:pPr>
        <w:spacing w:after="0" w:line="216" w:lineRule="auto"/>
      </w:pPr>
      <w:hyperlink w:anchor="s9">
        <w:r w:rsidR="002B3839">
          <w:rPr>
            <w:color w:val="2E6B7A"/>
            <w:sz w:val="18"/>
            <w:u w:val="single"/>
          </w:rPr>
          <w:t>9. Assessment FNCSDP</w:t>
        </w:r>
      </w:hyperlink>
    </w:p>
    <w:p w14:paraId="01F5E50C" w14:textId="77777777" w:rsidR="00705A6B" w:rsidRDefault="00CC0E4A">
      <w:pPr>
        <w:spacing w:after="0" w:line="216" w:lineRule="auto"/>
        <w:ind w:left="360"/>
      </w:pPr>
      <w:hyperlink w:anchor="s91">
        <w:r w:rsidR="002B3839">
          <w:rPr>
            <w:color w:val="2E6B7A"/>
            <w:sz w:val="16"/>
            <w:u w:val="single"/>
          </w:rPr>
          <w:t xml:space="preserve">9.1 </w:t>
        </w:r>
        <w:proofErr w:type="spellStart"/>
        <w:r w:rsidR="002B3839">
          <w:rPr>
            <w:color w:val="2E6B7A"/>
            <w:sz w:val="16"/>
            <w:u w:val="single"/>
          </w:rPr>
          <w:t>Profilo</w:t>
        </w:r>
        <w:proofErr w:type="spellEnd"/>
        <w:r w:rsidR="002B3839">
          <w:rPr>
            <w:color w:val="2E6B7A"/>
            <w:sz w:val="16"/>
            <w:u w:val="single"/>
          </w:rPr>
          <w:t xml:space="preserve"> Target</w:t>
        </w:r>
      </w:hyperlink>
    </w:p>
    <w:p w14:paraId="5160B9C0" w14:textId="77777777" w:rsidR="00705A6B" w:rsidRDefault="00CC0E4A">
      <w:pPr>
        <w:spacing w:after="0" w:line="216" w:lineRule="auto"/>
        <w:ind w:left="360"/>
      </w:pPr>
      <w:hyperlink w:anchor="s92">
        <w:r w:rsidR="002B3839">
          <w:rPr>
            <w:color w:val="2E6B7A"/>
            <w:sz w:val="16"/>
            <w:u w:val="single"/>
          </w:rPr>
          <w:t xml:space="preserve">9.2 </w:t>
        </w:r>
        <w:proofErr w:type="spellStart"/>
        <w:r w:rsidR="002B3839">
          <w:rPr>
            <w:color w:val="2E6B7A"/>
            <w:sz w:val="16"/>
            <w:u w:val="single"/>
          </w:rPr>
          <w:t>Profilo</w:t>
        </w:r>
        <w:proofErr w:type="spellEnd"/>
        <w:r w:rsidR="002B3839">
          <w:rPr>
            <w:color w:val="2E6B7A"/>
            <w:sz w:val="16"/>
            <w:u w:val="single"/>
          </w:rPr>
          <w:t xml:space="preserve"> </w:t>
        </w:r>
        <w:proofErr w:type="spellStart"/>
        <w:r w:rsidR="002B3839">
          <w:rPr>
            <w:color w:val="2E6B7A"/>
            <w:sz w:val="16"/>
            <w:u w:val="single"/>
          </w:rPr>
          <w:t>Attuale</w:t>
        </w:r>
        <w:proofErr w:type="spellEnd"/>
        <w:r w:rsidR="002B3839">
          <w:rPr>
            <w:color w:val="2E6B7A"/>
            <w:sz w:val="16"/>
            <w:u w:val="single"/>
          </w:rPr>
          <w:t xml:space="preserve"> e </w:t>
        </w:r>
        <w:proofErr w:type="spellStart"/>
        <w:r w:rsidR="002B3839">
          <w:rPr>
            <w:color w:val="2E6B7A"/>
            <w:sz w:val="16"/>
            <w:u w:val="single"/>
          </w:rPr>
          <w:t>misure</w:t>
        </w:r>
        <w:proofErr w:type="spellEnd"/>
      </w:hyperlink>
    </w:p>
    <w:p w14:paraId="06C2E408" w14:textId="77777777" w:rsidR="00705A6B" w:rsidRDefault="00CC0E4A">
      <w:pPr>
        <w:spacing w:after="0" w:line="216" w:lineRule="auto"/>
        <w:ind w:left="360"/>
      </w:pPr>
      <w:hyperlink w:anchor="s93">
        <w:r w:rsidR="002B3839">
          <w:rPr>
            <w:color w:val="2E6B7A"/>
            <w:sz w:val="16"/>
            <w:u w:val="single"/>
          </w:rPr>
          <w:t xml:space="preserve">9.3 </w:t>
        </w:r>
        <w:proofErr w:type="spellStart"/>
        <w:r w:rsidR="002B3839">
          <w:rPr>
            <w:color w:val="2E6B7A"/>
            <w:sz w:val="16"/>
            <w:u w:val="single"/>
          </w:rPr>
          <w:t>Valutazione</w:t>
        </w:r>
        <w:proofErr w:type="spellEnd"/>
        <w:r w:rsidR="002B3839">
          <w:rPr>
            <w:color w:val="2E6B7A"/>
            <w:sz w:val="16"/>
            <w:u w:val="single"/>
          </w:rPr>
          <w:t>, score e gap</w:t>
        </w:r>
      </w:hyperlink>
    </w:p>
    <w:p w14:paraId="7DB2B2E3" w14:textId="77777777" w:rsidR="00705A6B" w:rsidRDefault="00CC0E4A">
      <w:pPr>
        <w:spacing w:after="0" w:line="216" w:lineRule="auto"/>
        <w:ind w:left="360"/>
      </w:pPr>
      <w:hyperlink w:anchor="s94">
        <w:r w:rsidR="002B3839">
          <w:rPr>
            <w:color w:val="2E6B7A"/>
            <w:sz w:val="16"/>
            <w:u w:val="single"/>
          </w:rPr>
          <w:t xml:space="preserve">9.4 </w:t>
        </w:r>
        <w:proofErr w:type="spellStart"/>
        <w:r w:rsidR="002B3839">
          <w:rPr>
            <w:color w:val="2E6B7A"/>
            <w:sz w:val="16"/>
            <w:u w:val="single"/>
          </w:rPr>
          <w:t>Esportazione</w:t>
        </w:r>
        <w:proofErr w:type="spellEnd"/>
        <w:r w:rsidR="002B3839">
          <w:rPr>
            <w:color w:val="2E6B7A"/>
            <w:sz w:val="16"/>
            <w:u w:val="single"/>
          </w:rPr>
          <w:t xml:space="preserve"> XLSX e sola lettura</w:t>
        </w:r>
      </w:hyperlink>
    </w:p>
    <w:p w14:paraId="4B85A035" w14:textId="77777777" w:rsidR="00705A6B" w:rsidRDefault="00CC0E4A">
      <w:pPr>
        <w:spacing w:after="0" w:line="216" w:lineRule="auto"/>
      </w:pPr>
      <w:hyperlink w:anchor="s10">
        <w:r w:rsidR="002B3839">
          <w:rPr>
            <w:color w:val="2E6B7A"/>
            <w:sz w:val="18"/>
            <w:u w:val="single"/>
          </w:rPr>
          <w:t>10. Audit Log e tracciabilità applicativa</w:t>
        </w:r>
      </w:hyperlink>
    </w:p>
    <w:p w14:paraId="605FE0E7" w14:textId="77777777" w:rsidR="00705A6B" w:rsidRDefault="00CC0E4A">
      <w:pPr>
        <w:spacing w:after="0" w:line="216" w:lineRule="auto"/>
      </w:pPr>
      <w:hyperlink w:anchor="s11">
        <w:r w:rsidR="002B3839">
          <w:rPr>
            <w:color w:val="2E6B7A"/>
            <w:sz w:val="18"/>
            <w:u w:val="single"/>
          </w:rPr>
          <w:t>11. Importazioni, esportazioni e reporting</w:t>
        </w:r>
      </w:hyperlink>
    </w:p>
    <w:p w14:paraId="5943DAFA" w14:textId="77777777" w:rsidR="00705A6B" w:rsidRDefault="00CC0E4A">
      <w:pPr>
        <w:spacing w:after="0" w:line="216" w:lineRule="auto"/>
      </w:pPr>
      <w:hyperlink w:anchor="s12">
        <w:r w:rsidR="002B3839">
          <w:rPr>
            <w:color w:val="2E6B7A"/>
            <w:sz w:val="18"/>
            <w:u w:val="single"/>
          </w:rPr>
          <w:t>12. Supporto, lingua e ringraziamenti</w:t>
        </w:r>
      </w:hyperlink>
    </w:p>
    <w:p w14:paraId="1B349997" w14:textId="77777777" w:rsidR="00705A6B" w:rsidRDefault="00CC0E4A">
      <w:pPr>
        <w:spacing w:after="0" w:line="216" w:lineRule="auto"/>
      </w:pPr>
      <w:hyperlink w:anchor="s13">
        <w:r w:rsidR="002B3839">
          <w:rPr>
            <w:color w:val="2E6B7A"/>
            <w:sz w:val="18"/>
            <w:u w:val="single"/>
          </w:rPr>
          <w:t>13. Sicurezza frontend e gestione degli errori</w:t>
        </w:r>
      </w:hyperlink>
    </w:p>
    <w:p w14:paraId="4BF4F77E" w14:textId="77777777" w:rsidR="00705A6B" w:rsidRDefault="00CC0E4A">
      <w:pPr>
        <w:spacing w:after="0" w:line="216" w:lineRule="auto"/>
      </w:pPr>
      <w:hyperlink w:anchor="s14">
        <w:r w:rsidR="002B3839">
          <w:rPr>
            <w:color w:val="2E6B7A"/>
            <w:sz w:val="18"/>
            <w:u w:val="single"/>
          </w:rPr>
          <w:t>14. Responsive design, accessibilità e coerenza visiva</w:t>
        </w:r>
      </w:hyperlink>
    </w:p>
    <w:p w14:paraId="0FC77B1D" w14:textId="77777777" w:rsidR="00705A6B" w:rsidRDefault="00CC0E4A">
      <w:pPr>
        <w:spacing w:after="0" w:line="216" w:lineRule="auto"/>
      </w:pPr>
      <w:hyperlink w:anchor="s15">
        <w:r w:rsidR="002B3839">
          <w:rPr>
            <w:color w:val="2E6B7A"/>
            <w:sz w:val="18"/>
            <w:u w:val="single"/>
          </w:rPr>
          <w:t>15. Collaudo funzionale conclusivo</w:t>
        </w:r>
      </w:hyperlink>
    </w:p>
    <w:p w14:paraId="72CAAEF2" w14:textId="77777777" w:rsidR="00705A6B" w:rsidRDefault="00CC0E4A">
      <w:pPr>
        <w:spacing w:after="0" w:line="216" w:lineRule="auto"/>
      </w:pPr>
      <w:hyperlink w:anchor="s16">
        <w:r w:rsidR="002B3839">
          <w:rPr>
            <w:color w:val="2E6B7A"/>
            <w:sz w:val="18"/>
            <w:u w:val="single"/>
          </w:rPr>
          <w:t>16. Repository, deployment e gestione delle versioni</w:t>
        </w:r>
      </w:hyperlink>
    </w:p>
    <w:p w14:paraId="64A66895" w14:textId="77777777" w:rsidR="00705A6B" w:rsidRDefault="00CC0E4A">
      <w:pPr>
        <w:spacing w:after="0" w:line="216" w:lineRule="auto"/>
      </w:pPr>
      <w:hyperlink w:anchor="s17">
        <w:r w:rsidR="002B3839">
          <w:rPr>
            <w:color w:val="2E6B7A"/>
            <w:sz w:val="18"/>
            <w:u w:val="single"/>
          </w:rPr>
          <w:t>17. Conclusioni</w:t>
        </w:r>
      </w:hyperlink>
    </w:p>
    <w:p w14:paraId="5F0700E8" w14:textId="77777777" w:rsidR="00705A6B" w:rsidRDefault="00CC0E4A">
      <w:pPr>
        <w:spacing w:after="0" w:line="216" w:lineRule="auto"/>
      </w:pPr>
      <w:hyperlink w:anchor="appa">
        <w:proofErr w:type="spellStart"/>
        <w:r w:rsidR="002B3839">
          <w:rPr>
            <w:color w:val="2E6B7A"/>
            <w:sz w:val="18"/>
            <w:u w:val="single"/>
          </w:rPr>
          <w:t>Appendice</w:t>
        </w:r>
        <w:proofErr w:type="spellEnd"/>
        <w:r w:rsidR="002B3839">
          <w:rPr>
            <w:color w:val="2E6B7A"/>
            <w:sz w:val="18"/>
            <w:u w:val="single"/>
          </w:rPr>
          <w:t xml:space="preserve"> A - </w:t>
        </w:r>
        <w:proofErr w:type="spellStart"/>
        <w:r w:rsidR="002B3839">
          <w:rPr>
            <w:color w:val="2E6B7A"/>
            <w:sz w:val="18"/>
            <w:u w:val="single"/>
          </w:rPr>
          <w:t>Matrice</w:t>
        </w:r>
        <w:proofErr w:type="spellEnd"/>
        <w:r w:rsidR="002B3839">
          <w:rPr>
            <w:color w:val="2E6B7A"/>
            <w:sz w:val="18"/>
            <w:u w:val="single"/>
          </w:rPr>
          <w:t xml:space="preserve"> di controllo frontend</w:t>
        </w:r>
      </w:hyperlink>
    </w:p>
    <w:p w14:paraId="2ABAA9E3" w14:textId="77777777" w:rsidR="00705A6B" w:rsidRDefault="002B3839">
      <w:r>
        <w:br w:type="page"/>
      </w:r>
    </w:p>
    <w:p w14:paraId="561428A1" w14:textId="77777777" w:rsidR="00705A6B" w:rsidRDefault="002B3839">
      <w:pPr>
        <w:pStyle w:val="Titolo1"/>
      </w:pPr>
      <w:bookmarkStart w:id="2" w:name="s1"/>
      <w:r w:rsidRPr="00BB20CC">
        <w:rPr>
          <w:rFonts w:ascii="Times New Roman" w:hAnsi="Times New Roman" w:cs="Times New Roman"/>
          <w:sz w:val="24"/>
          <w:szCs w:val="24"/>
        </w:rPr>
        <w:lastRenderedPageBreak/>
        <w:t>1. Finalità e perimetro della relazione</w:t>
      </w:r>
      <w:bookmarkEnd w:id="2"/>
    </w:p>
    <w:p w14:paraId="5E67870C" w14:textId="77777777" w:rsidR="00705A6B" w:rsidRDefault="002B3839">
      <w:r>
        <w:t>Il frontend traduce il modello relazionale e i controlli di sicurezza del progetto in un ambiente operativo accessibile da browser. La sua finalità è offrire un unico punto di accesso ai dati di asset inventory e conformità, riducendo la frammentazione delle informazioni e guidando l’utente lungo attività che, se eseguite direttamente sul database, richiederebbero conoscenze tecniche non compatibili con l’uso quotidiano.</w:t>
      </w:r>
    </w:p>
    <w:p w14:paraId="44B4BA0A" w14:textId="1761ABD4" w:rsidR="00705A6B" w:rsidRDefault="002B3839">
      <w:r>
        <w:t xml:space="preserve">Il perimetro comprende la home pubblica, l’autenticazione, l’area applicativa </w:t>
      </w:r>
      <w:proofErr w:type="spellStart"/>
      <w:r>
        <w:t>riservata</w:t>
      </w:r>
      <w:proofErr w:type="spellEnd"/>
      <w:r>
        <w:t xml:space="preserve">, il menu </w:t>
      </w:r>
      <w:proofErr w:type="spellStart"/>
      <w:r>
        <w:t>verticale</w:t>
      </w:r>
      <w:proofErr w:type="spellEnd"/>
      <w:r>
        <w:t xml:space="preserve">, la </w:t>
      </w:r>
      <w:r w:rsidR="00C01A60">
        <w:t>dashboard</w:t>
      </w:r>
      <w:r>
        <w:t xml:space="preserve">, le </w:t>
      </w:r>
      <w:proofErr w:type="spellStart"/>
      <w:r>
        <w:t>anagrafiche</w:t>
      </w:r>
      <w:proofErr w:type="spellEnd"/>
      <w:r>
        <w:t xml:space="preserve">, </w:t>
      </w:r>
      <w:proofErr w:type="spellStart"/>
      <w:r>
        <w:t>l’inventario</w:t>
      </w:r>
      <w:proofErr w:type="spellEnd"/>
      <w:r>
        <w:t xml:space="preserve">, le </w:t>
      </w:r>
      <w:proofErr w:type="spellStart"/>
      <w:r>
        <w:t>relazioni</w:t>
      </w:r>
      <w:proofErr w:type="spellEnd"/>
      <w:r>
        <w:t xml:space="preserve"> di Supply Chain, la gestione degli incidenti, l’Assessment FNCSDP, l’Audit Log, le esportazioni, la localizzazione italiana e inglese, il tema chiaro o scuro e la pagina dei ringraziamenti. Non rientrano invece in questo allegato la definizione fisica delle tabelle e la sequenza delle migrazioni SQL, descritte nella relazione tecnica backend.</w:t>
      </w:r>
    </w:p>
    <w:p w14:paraId="6451F3F0" w14:textId="77777777" w:rsidR="00705A6B" w:rsidRDefault="002B3839">
      <w:r>
        <w:t>L’interfaccia non è un semplice visualizzatore. Essa applica controlli di stato, impedisce operazioni incoerenti, propone azioni successive, usa finestre di conferma prima delle registrazioni rilevanti e mantiene separati i flussi di consultazione, inserimento, aggiornamento, archiviazione ed esportazione. Il risultato è un’applicazione dimostrativa completa, coerente con il Project Work e utilizzabile senza strumenti di amministrazione del database.</w:t>
      </w:r>
    </w:p>
    <w:p w14:paraId="37082404" w14:textId="77777777" w:rsidR="00705A6B" w:rsidRDefault="002B3839">
      <w:pPr>
        <w:pStyle w:val="Titolo1"/>
      </w:pPr>
      <w:bookmarkStart w:id="3" w:name="s2"/>
      <w:r w:rsidRPr="00EC36B6">
        <w:rPr>
          <w:rFonts w:ascii="Times New Roman" w:hAnsi="Times New Roman" w:cs="Times New Roman"/>
          <w:sz w:val="24"/>
          <w:szCs w:val="24"/>
        </w:rPr>
        <w:t>2. Architettura frontend e organizzazione del codice</w:t>
      </w:r>
      <w:bookmarkEnd w:id="3"/>
    </w:p>
    <w:p w14:paraId="4E5A8186" w14:textId="77777777" w:rsidR="00705A6B" w:rsidRDefault="002B3839">
      <w:r>
        <w:t>L’applicazione adotta un’architettura client-side modulare senza framework. index.html contiene la struttura semantica generale, i contenitori delle viste, i dialoghi e i collegamenti alle risorse; il codice JavaScript è suddiviso per responsabilità, mentre il foglio di stile centralizza identità visiva, layout, componenti, stati e adattamento responsive. La scelta riduce la complessità di distribuzione e rende il progetto compatibile con GitHub Pages, che pubblica file statici.</w:t>
      </w:r>
    </w:p>
    <w:p w14:paraId="0127C3E1" w14:textId="77777777" w:rsidR="00705A6B" w:rsidRDefault="002B3839">
      <w:r>
        <w:t>Il browser esegue l’orchestrazione dell’interfaccia e comunica con Supabase mediante il relativo SDK. Il backend rimane responsabile di autenticazione, autorizzazione RLS, vincoli, funzioni transazionali e persistenza. Il frontend non sostituisce tali controlli: presenta le operazioni disponibili, raccoglie i dati, chiama le API o le funzioni previste e aggiorna la vista in base all’esito restituito.</w:t>
      </w:r>
    </w:p>
    <w:p w14:paraId="6D924C2D" w14:textId="77777777" w:rsidR="00705A6B" w:rsidRDefault="002B3839">
      <w:pPr>
        <w:pStyle w:val="Titolo2"/>
      </w:pPr>
      <w:bookmarkStart w:id="4" w:name="s21"/>
      <w:r w:rsidRPr="00EC36B6">
        <w:rPr>
          <w:rFonts w:ascii="Times New Roman" w:hAnsi="Times New Roman" w:cs="Times New Roman"/>
          <w:color w:val="1F5A73"/>
          <w:sz w:val="24"/>
          <w:szCs w:val="24"/>
        </w:rPr>
        <w:t>2.1 Struttura della pagina e componenti condivisi</w:t>
      </w:r>
      <w:bookmarkEnd w:id="4"/>
    </w:p>
    <w:p w14:paraId="20815875" w14:textId="7899521F" w:rsidR="00705A6B" w:rsidRDefault="002B3839">
      <w:r>
        <w:t xml:space="preserve">La pagina è organizzata in aree ricorrenti. L’header contiene il </w:t>
      </w:r>
      <w:proofErr w:type="spellStart"/>
      <w:r>
        <w:t>marchio</w:t>
      </w:r>
      <w:proofErr w:type="spellEnd"/>
      <w:r>
        <w:t xml:space="preserve">, il </w:t>
      </w:r>
      <w:proofErr w:type="spellStart"/>
      <w:r>
        <w:t>collegamento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r w:rsidR="00101BB4">
        <w:t>d</w:t>
      </w:r>
      <w:r w:rsidR="00C01A60">
        <w:t>ashboard</w:t>
      </w:r>
      <w:r>
        <w:t xml:space="preserve">, il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Informazioni</w:t>
      </w:r>
      <w:proofErr w:type="spellEnd"/>
      <w:r>
        <w:t xml:space="preserve"> e </w:t>
      </w:r>
      <w:proofErr w:type="spellStart"/>
      <w:r>
        <w:t>guida</w:t>
      </w:r>
      <w:proofErr w:type="spellEnd"/>
      <w:r>
        <w:t>, l’identità della sessione, il selettore della lingua, il tema e il logout. Nell’area riservata, il menu verticale raggruppa le funzioni per dominio: Azienda, Inventario, Servizi, Fornitori, Relazioni, Incidenti, Sicurezza, Supporto e Ringraziamenti. Breadcrumb, etichetta di sezione e titolo corrente vengono aggiornati dalla navigazione.</w:t>
      </w:r>
    </w:p>
    <w:p w14:paraId="1D2B3422" w14:textId="77777777" w:rsidR="00705A6B" w:rsidRDefault="002B3839">
      <w:r>
        <w:t>Le viste utilizzano componenti coerenti: card, griglie informative, tabelle, barre di avanzamento, badge di stato, dialoghi modali, pannelli di riepilogo e pulsanti primari o secondari. Gli stessi criteri grafici sono applicati alle operazioni di archiviazione, alle conferme, alle esportazioni e ai dettagli di sola lettura, evitando che ogni modulo introduca un comportamento visivo autonomo.</w:t>
      </w:r>
    </w:p>
    <w:p w14:paraId="1D7BB599" w14:textId="77777777" w:rsidR="00705A6B" w:rsidRDefault="002B3839">
      <w:pPr>
        <w:pStyle w:val="Titolo2"/>
      </w:pPr>
      <w:bookmarkStart w:id="5" w:name="s22"/>
      <w:r w:rsidRPr="00173BAC">
        <w:rPr>
          <w:rFonts w:ascii="Times New Roman" w:hAnsi="Times New Roman" w:cs="Times New Roman"/>
          <w:color w:val="1F5A73"/>
          <w:sz w:val="24"/>
          <w:szCs w:val="24"/>
        </w:rPr>
        <w:t>2.2 Moduli JavaScript principali</w:t>
      </w:r>
      <w:bookmarkEnd w:id="5"/>
    </w:p>
    <w:p w14:paraId="2DF27FBB" w14:textId="77777777" w:rsidR="00705A6B" w:rsidRDefault="002B3839">
      <w:r>
        <w:t xml:space="preserve">main.js coordina l’avvio dell’applicazione, la sessione e il caricamento dei moduli. router.js normalizza gli hash, controlla le rotte valide e collega la cronologia del browser. ui.js attiva le viste, </w:t>
      </w:r>
      <w:r>
        <w:lastRenderedPageBreak/>
        <w:t>aggiorna breadcrumb e titoli, gestisce gli stati comuni e mantiene allineata la navigazione. auth.js e i moduli Supabase gestiscono l’accesso, il recupero della sessione e le chiamate al backend.</w:t>
      </w:r>
    </w:p>
    <w:p w14:paraId="4B1AF7E8" w14:textId="77777777" w:rsidR="00705A6B" w:rsidRDefault="002B3839">
      <w:r>
        <w:t>Le funzioni di dominio sono isolate in moduli dedicati. supplyChain.js ricostruisce e presenta i percorsi multilivello; incidentService.js e wizard.js supportano la gestione guidata degli incidenti; auditLog.js gestisce caricamento, filtri, dettaglio e export degli eventi; assessmentManagement.js e assessmentService.js implementano il ciclo Target-Attuale FNCSDP; importExport.js ed export.js producono file XLSX; i18n.js applica le traduzioni dell’interfaccia. Questa separazione limita l’accoppiamento e rende più leggibili le modifiche future.</w:t>
      </w:r>
    </w:p>
    <w:p w14:paraId="64A56A5A" w14:textId="77777777" w:rsidR="00705A6B" w:rsidRDefault="002B3839">
      <w:pPr>
        <w:pStyle w:val="Titolo2"/>
      </w:pPr>
      <w:bookmarkStart w:id="6" w:name="s23"/>
      <w:r w:rsidRPr="00173BAC">
        <w:rPr>
          <w:rFonts w:ascii="Times New Roman" w:hAnsi="Times New Roman" w:cs="Times New Roman"/>
          <w:color w:val="1F5A73"/>
          <w:sz w:val="24"/>
          <w:szCs w:val="24"/>
        </w:rPr>
        <w:t>2.3 Fogli di stile e risorse grafiche</w:t>
      </w:r>
      <w:bookmarkEnd w:id="6"/>
    </w:p>
    <w:p w14:paraId="38EDEE30" w14:textId="77777777" w:rsidR="00705A6B" w:rsidRDefault="002B3839">
      <w:r>
        <w:t>style.css definisce la struttura visiva dell’applicazione: palette, spaziature, tipografia, layout a card, tabelle, dialoghi, stati attivi, componenti responsive e temi. wizard.css mantiene le regole specifiche del percorso incidenti. Le correzioni finali hanno uniformato le larghezze delle aree FNCSDP, eliminato compressioni inutili, mantenuto i dialoghi entro l’altezza disponibile e garantito pulsanti raggiungibili anche su schermi ridotti.</w:t>
      </w:r>
    </w:p>
    <w:p w14:paraId="1AD78C12" w14:textId="77777777" w:rsidR="00705A6B" w:rsidRDefault="002B3839">
      <w:r>
        <w:t>Le risorse di branding sono raccolte in assets/branding. Il simbolo scelto unisce un percorso centrale, un elemento fortificato e uno scudo, richiamando la finalità dell’applicazione: una via unica e controllata verso la sicurezza e la registrazione affidabile dei dati. Lo stesso segno è utilizzato in formato esteso nella home, in formato compatto nell’header e come favicon nella scheda del browser.</w:t>
      </w:r>
    </w:p>
    <w:tbl>
      <w:tblPr>
        <w:tblStyle w:val="Grigliatabel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680"/>
        <w:gridCol w:w="2520"/>
      </w:tblGrid>
      <w:tr w:rsidR="00705A6B" w14:paraId="6E218FCC" w14:textId="77777777">
        <w:trPr>
          <w:tblHeader/>
          <w:jc w:val="center"/>
        </w:trPr>
        <w:tc>
          <w:tcPr>
            <w:tcW w:w="2088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53FD7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Componente</w:t>
            </w:r>
          </w:p>
        </w:tc>
        <w:tc>
          <w:tcPr>
            <w:tcW w:w="4680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F08E0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Responsabilità frontend</w:t>
            </w:r>
          </w:p>
        </w:tc>
        <w:tc>
          <w:tcPr>
            <w:tcW w:w="2520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4572F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Collocazione</w:t>
            </w:r>
          </w:p>
        </w:tc>
      </w:tr>
      <w:tr w:rsidR="00705A6B" w14:paraId="5529F70E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66A57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Struttura HTML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A4E5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Home pubblica, area riservata, viste e dialoghi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D3FEB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index.html</w:t>
            </w:r>
          </w:p>
        </w:tc>
      </w:tr>
      <w:tr w:rsidR="00705A6B" w14:paraId="367660CE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7C860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Orchestrazione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EE11E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Avvio, sessione, caricamento e coordinamento dei moduli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F185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src/main.js</w:t>
            </w:r>
          </w:p>
        </w:tc>
      </w:tr>
      <w:tr w:rsidR="00705A6B" w14:paraId="720DE692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CA170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Navigazione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A4764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Rotte hash, cronologia e controllo di accesso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18AF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src/router.js</w:t>
            </w:r>
          </w:p>
        </w:tc>
      </w:tr>
      <w:tr w:rsidR="00705A6B" w14:paraId="244CCB66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36700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Interfaccia comune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33D80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Attivazione viste, titoli, breadcrumb e stati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B0A73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src/ui.js</w:t>
            </w:r>
          </w:p>
        </w:tc>
      </w:tr>
      <w:tr w:rsidR="00705A6B" w14:paraId="0CC13250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3D801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Dominio applicativo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270EF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Inventario, Supply Chain, incidenti, audit e assessment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3611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src/*.js</w:t>
            </w:r>
          </w:p>
        </w:tc>
      </w:tr>
      <w:tr w:rsidR="00705A6B" w14:paraId="60023657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3D0F2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Presentazione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3C25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Tema, layout, componenti e responsive design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4133A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src/style.css e src/wizard.css</w:t>
            </w:r>
          </w:p>
        </w:tc>
      </w:tr>
      <w:tr w:rsidR="00705A6B" w14:paraId="5A6083D7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B9022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Branding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53634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Logo, favicon e icone applicative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D382A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assets/branding/</w:t>
            </w:r>
          </w:p>
        </w:tc>
      </w:tr>
    </w:tbl>
    <w:p w14:paraId="43AEAE1D" w14:textId="77777777" w:rsidR="00705A6B" w:rsidRDefault="00705A6B">
      <w:pPr>
        <w:spacing w:after="0"/>
      </w:pPr>
    </w:p>
    <w:p w14:paraId="1F5A74AA" w14:textId="77777777" w:rsidR="00705A6B" w:rsidRPr="00173BAC" w:rsidRDefault="002B3839">
      <w:pPr>
        <w:pStyle w:val="Titolo1"/>
        <w:rPr>
          <w:rFonts w:ascii="Times New Roman" w:hAnsi="Times New Roman" w:cs="Times New Roman"/>
          <w:sz w:val="24"/>
          <w:szCs w:val="24"/>
        </w:rPr>
      </w:pPr>
      <w:bookmarkStart w:id="7" w:name="s3"/>
      <w:r w:rsidRPr="00173BAC">
        <w:rPr>
          <w:rFonts w:ascii="Times New Roman" w:hAnsi="Times New Roman" w:cs="Times New Roman"/>
          <w:sz w:val="24"/>
          <w:szCs w:val="24"/>
        </w:rPr>
        <w:t>3. Tecnologie, pubblicazione e integrazione</w:t>
      </w:r>
      <w:bookmarkEnd w:id="7"/>
    </w:p>
    <w:p w14:paraId="6C3A6756" w14:textId="77777777" w:rsidR="00705A6B" w:rsidRDefault="002B3839">
      <w:r>
        <w:t>Il frontend utilizza HTML5, CSS3 e JavaScript ES6 con moduli nativi. La pubblicazione avviene tramite GitHub Pages a partire dal ramo main del repository. L’assenza di un processo di build complesso consente di verificare direttamente i file versionati e rende immediata la corrispondenza tra commit, deployment e versione mostrata nell’interfaccia.</w:t>
      </w:r>
    </w:p>
    <w:p w14:paraId="179B3652" w14:textId="77777777" w:rsidR="00705A6B" w:rsidRDefault="002B3839">
      <w:r>
        <w:t>Supabase fornisce autenticazione, sessione, API REST generate sullo schema PostgreSQL e chiamate RPC. L’applicazione invia operazioni soltanto sulle risorse previste; privilegi e policy RLS restano applicati sul server. ExcelJS è utilizzato per i file XLSX strutturati, con fogli, intestazioni, larghezze, filtri e metadati. Le funzioni di download creano file lato browser senza memorizzare copie permanenti sul server web statico.</w:t>
      </w:r>
    </w:p>
    <w:p w14:paraId="387FA6CE" w14:textId="77777777" w:rsidR="00705A6B" w:rsidRDefault="002B3839">
      <w:r>
        <w:lastRenderedPageBreak/>
        <w:t>Il versionamento della build nel titolo, nell’header e nel footer rende riconoscibile lo stato pubblicato. Durante il collaudo, ogni patch è stata verificata dopo il completamento del workflow pages build and deployment e un ricaricamento forzato del browser. Questo metodo ha evitato di confondere problemi di cache con errori del codice sorgente.</w:t>
      </w:r>
    </w:p>
    <w:p w14:paraId="142EFD76" w14:textId="77777777" w:rsidR="00705A6B" w:rsidRDefault="002B3839">
      <w:pPr>
        <w:pStyle w:val="Titolo1"/>
      </w:pPr>
      <w:bookmarkStart w:id="8" w:name="s4"/>
      <w:r w:rsidRPr="00173BAC">
        <w:rPr>
          <w:rFonts w:ascii="Times New Roman" w:hAnsi="Times New Roman" w:cs="Times New Roman"/>
          <w:sz w:val="24"/>
          <w:szCs w:val="24"/>
        </w:rPr>
        <w:t>4. Home pubblica, identità visiva e accesso</w:t>
      </w:r>
      <w:bookmarkEnd w:id="8"/>
    </w:p>
    <w:p w14:paraId="69BE5C6D" w14:textId="77777777" w:rsidR="00705A6B" w:rsidRDefault="002B3839">
      <w:r>
        <w:t>La home pubblica presenta il nome NIS2 Asset Inventory Manager, il contesto universitario, l’autore, il corso e l’ambito del Project Work. La descrizione sintetica chiarisce che l’applicazione censisce soggetti NIS2, asset, servizi, fornitori e dipendenze, rappresenta la Supply Chain, gestisce gli incidenti e valuta i Profili Target e Attuale secondo il FNCSDP.</w:t>
      </w:r>
    </w:p>
    <w:p w14:paraId="46ECA327" w14:textId="77777777" w:rsidR="00705A6B" w:rsidRDefault="002B3839">
      <w:r>
        <w:t>La sezione Funzionalità principali è articolata in Inventario centralizzato, Dipendenze e Supply Chain, Sicurezza e tracciabilità. I testi sono stati aggiornati nella versione finale per includere persone e responsabilità, subfornitori, Audit Log, incidenti e Assessment FNCSDP. Il modulo di accesso rimane distinto dalla presentazione e indica che l’area è riservata a personale autorizzato.</w:t>
      </w:r>
    </w:p>
    <w:p w14:paraId="7F3BFC09" w14:textId="77777777" w:rsidR="00705A6B" w:rsidRDefault="002B3839">
      <w:r>
        <w:t>Il logo è collocato in dimensione maggiore accanto al titolo nella pagina di login e in formato compatto nell’header delle pagine successive. La favicon è disponibile nei formati necessari ai browser e ai dispositivi. Questa scelta rende il progetto riconoscibile senza sovraccaricare l’interfaccia operativa, nella quale lo spazio deve restare dedicato ai dati e ai comandi.</w:t>
      </w:r>
    </w:p>
    <w:p w14:paraId="3B40E28D" w14:textId="77777777" w:rsidR="00705A6B" w:rsidRDefault="002B3839">
      <w:pPr>
        <w:pStyle w:val="Titolo1"/>
      </w:pPr>
      <w:bookmarkStart w:id="9" w:name="s5"/>
      <w:r w:rsidRPr="00173BAC">
        <w:rPr>
          <w:rFonts w:ascii="Times New Roman" w:hAnsi="Times New Roman" w:cs="Times New Roman"/>
          <w:sz w:val="24"/>
          <w:szCs w:val="24"/>
        </w:rPr>
        <w:t>5. Autenticazione, sessione e controllo operativo</w:t>
      </w:r>
      <w:bookmarkEnd w:id="9"/>
    </w:p>
    <w:p w14:paraId="434009AC" w14:textId="77777777" w:rsidR="00705A6B" w:rsidRDefault="002B3839">
      <w:r>
        <w:t>L’accesso utilizza Supabase Auth. Il modulo raccoglie e-mail e password, avvia la sessione e verifica il livello di assurance restituito dal backend. Il comportamento ordinario prevede MFA e livello aal2; l’utenza docente autorizzata può operare in aal1 come eccezione controllata prevista dalle policy del progetto. L’interfaccia mostra l’identità e il livello di accesso senza esporre credenziali o token.</w:t>
      </w:r>
    </w:p>
    <w:p w14:paraId="0ABFEC25" w14:textId="77777777" w:rsidR="00705A6B" w:rsidRDefault="002B3839">
      <w:r>
        <w:t>LOGIN, LOGOUT e MFA_VERIFICATA vengono registrati tramite una funzione RPC dedicata. Il frontend non possiede autorizzazioni di scrittura diretta sull’Audit Log: invoca esclusivamente il contratto esposto dal backend, che registra identità, livello AAL, ruolo e origine dell’evento. La separazione impedisce che il client possa generare liberamente eventi arbitrari nel registro.</w:t>
      </w:r>
    </w:p>
    <w:p w14:paraId="7FD3070D" w14:textId="77777777" w:rsidR="00705A6B" w:rsidRDefault="002B3839">
      <w:r>
        <w:t>Il router impedisce l’accesso alle viste riservate quando la sessione non è valida. Il logout chiude la sessione, ripristina la home e aggiorna lo stato dell’header. Il controllo è completato dalle policy RLS, che restano decisive anche in caso di chiamata diretta alle API. L’interfaccia migliora quindi l’esperienza d’uso, ma non costituisce l’unico livello di protezione.</w:t>
      </w:r>
    </w:p>
    <w:p w14:paraId="5DC28617" w14:textId="77777777" w:rsidR="00705A6B" w:rsidRDefault="002B3839">
      <w:pPr>
        <w:pStyle w:val="Titolo1"/>
      </w:pPr>
      <w:bookmarkStart w:id="10" w:name="s6"/>
      <w:r w:rsidRPr="00173BAC">
        <w:rPr>
          <w:rFonts w:ascii="Times New Roman" w:hAnsi="Times New Roman" w:cs="Times New Roman"/>
          <w:sz w:val="24"/>
          <w:szCs w:val="24"/>
        </w:rPr>
        <w:t>6. Architettura di navigazione</w:t>
      </w:r>
      <w:bookmarkEnd w:id="10"/>
    </w:p>
    <w:p w14:paraId="0A9F10AD" w14:textId="77777777" w:rsidR="00705A6B" w:rsidRDefault="002B3839">
      <w:r>
        <w:t>La navigazione utilizza URL con hash. Ogni rotta viene normalizzata dal router, collegata a una vista e registrata nella cronologia del browser. Il passaggio tra i moduli non richiede un ricaricamento completo della pagina; breadcrumb, titolo, voce attiva e contenuto vengono aggiornati in modo coordinato. Gli alias mantengono la compatibilità con collegamenti precedenti e riducono gli errori dovuti a varianti del nome della rotta.</w:t>
      </w:r>
    </w:p>
    <w:p w14:paraId="134F7B0B" w14:textId="1BF73C53" w:rsidR="00705A6B" w:rsidRDefault="002B3839">
      <w:r>
        <w:t xml:space="preserve">L’architettura parte dalla home pubblica, attraversa </w:t>
      </w:r>
      <w:proofErr w:type="spellStart"/>
      <w:r>
        <w:t>autenticazione</w:t>
      </w:r>
      <w:proofErr w:type="spellEnd"/>
      <w:r>
        <w:t xml:space="preserve"> e area </w:t>
      </w:r>
      <w:proofErr w:type="spellStart"/>
      <w:r>
        <w:t>applicativa</w:t>
      </w:r>
      <w:proofErr w:type="spellEnd"/>
      <w:r>
        <w:t xml:space="preserve">, </w:t>
      </w:r>
      <w:proofErr w:type="spellStart"/>
      <w:r>
        <w:t>quindi</w:t>
      </w:r>
      <w:proofErr w:type="spellEnd"/>
      <w:r>
        <w:t xml:space="preserve"> </w:t>
      </w:r>
      <w:proofErr w:type="spellStart"/>
      <w:r>
        <w:t>raggiunge</w:t>
      </w:r>
      <w:proofErr w:type="spellEnd"/>
      <w:r>
        <w:t xml:space="preserve"> </w:t>
      </w:r>
      <w:r w:rsidR="00101BB4">
        <w:t>d</w:t>
      </w:r>
      <w:r w:rsidR="00C01A60">
        <w:t>ashboard</w:t>
      </w:r>
      <w:r>
        <w:t xml:space="preserve"> e domini </w:t>
      </w:r>
      <w:proofErr w:type="spellStart"/>
      <w:r>
        <w:t>operativi</w:t>
      </w:r>
      <w:proofErr w:type="spellEnd"/>
      <w:r>
        <w:t xml:space="preserve">. La sezione Sicurezza concentra Assessment FNCSDP e Audit Log; Supporto ospita Informazioni e guida; Ringraziamenti è mantenuto come gruppo </w:t>
      </w:r>
      <w:r>
        <w:lastRenderedPageBreak/>
        <w:t>autonomo, separato dalle funzioni operative. La figura seguente rappresenta lo stato finale V5 e aggiorna lo schema V4 con identità visiva, lingua e pagina dei ringraziamenti.</w:t>
      </w:r>
    </w:p>
    <w:p w14:paraId="6B2FFF54" w14:textId="77777777" w:rsidR="00705A6B" w:rsidRDefault="002B3839">
      <w:pPr>
        <w:keepNext/>
        <w:jc w:val="center"/>
      </w:pPr>
      <w:r>
        <w:rPr>
          <w:noProof/>
        </w:rPr>
        <w:drawing>
          <wp:inline distT="0" distB="0" distL="0" distR="0" wp14:anchorId="444C8684" wp14:editId="46D14707">
            <wp:extent cx="5897880" cy="3492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a_Navigazione_Frontend_v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2B69" w14:textId="77777777" w:rsidR="00705A6B" w:rsidRDefault="002B3839">
      <w:pPr>
        <w:spacing w:before="80" w:after="160" w:line="240" w:lineRule="auto"/>
        <w:jc w:val="center"/>
      </w:pPr>
      <w:r>
        <w:rPr>
          <w:i/>
          <w:color w:val="536875"/>
          <w:sz w:val="21"/>
        </w:rPr>
        <w:t>Figura 1 - Architettura di navigazione frontend V5: dalla home pubblica ai moduli operativi, con Assessment FNCSDP, Audit Log e Ringraziamenti.</w:t>
      </w:r>
    </w:p>
    <w:p w14:paraId="16851238" w14:textId="77777777" w:rsidR="00705A6B" w:rsidRDefault="002B3839">
      <w:pPr>
        <w:pStyle w:val="Titolo1"/>
      </w:pPr>
      <w:bookmarkStart w:id="11" w:name="s7"/>
      <w:r w:rsidRPr="005D3B29">
        <w:rPr>
          <w:rFonts w:ascii="Times New Roman" w:hAnsi="Times New Roman" w:cs="Times New Roman"/>
          <w:sz w:val="24"/>
          <w:szCs w:val="24"/>
        </w:rPr>
        <w:t>7. Area applicativa, layout e usabilità</w:t>
      </w:r>
      <w:bookmarkEnd w:id="11"/>
    </w:p>
    <w:p w14:paraId="0A18B53B" w14:textId="77777777" w:rsidR="00705A6B" w:rsidRDefault="002B3839">
      <w:r>
        <w:t>L’area applicativa mantiene un’intestazione stabile e un menu verticale a gruppi espandibili. Questa struttura consente di individuare rapidamente il dominio corrente e di conservare una gerarchia leggibile anche quando le funzioni aumentano. Il titolo di pagina, il breadcrumb e l’etichetta di sezione riducono l’ambiguità, mentre i pulsanti principali sono collocati vicino al contenuto a cui si riferiscono.</w:t>
      </w:r>
    </w:p>
    <w:p w14:paraId="70ED4576" w14:textId="77777777" w:rsidR="00705A6B" w:rsidRDefault="002B3839">
      <w:r>
        <w:t>Le operazioni che modificano dati usano dialoghi con campi, spiegazioni e azioni esplicite. Nei flussi più delicati, come la creazione del Profilo Target, l’utente compila i dati, visualizza un riepilogo, può tornare alla modifica e soltanto dopo conferma la registrazione. Lo stesso principio è applicato alle operazioni di archiviazione, approvazione e completamento.</w:t>
      </w:r>
    </w:p>
    <w:p w14:paraId="598EC670" w14:textId="77777777" w:rsidR="00705A6B" w:rsidRDefault="002B3839">
      <w:r>
        <w:t>Gli stati sono espressi con termini coerenti: BOZZA, APPROVATO, COMPLETATO, attivo o archiviato. Messaggi contestuali indicano l’esito dell’operazione e la prossima azione consigliata. Nel modulo FNCSDP una barra di percorso mostra le otto fasi, così l’utente comprende immediatamente ciò che è stato completato e ciò che rimane da eseguire.</w:t>
      </w:r>
    </w:p>
    <w:p w14:paraId="555F9938" w14:textId="77777777" w:rsidR="00705A6B" w:rsidRDefault="002B3839">
      <w:pPr>
        <w:pStyle w:val="Titolo1"/>
      </w:pPr>
      <w:bookmarkStart w:id="12" w:name="s8"/>
      <w:r w:rsidRPr="00C01A60">
        <w:rPr>
          <w:rFonts w:ascii="Times New Roman" w:hAnsi="Times New Roman" w:cs="Times New Roman"/>
          <w:sz w:val="24"/>
          <w:szCs w:val="24"/>
        </w:rPr>
        <w:t>8. Moduli operativi</w:t>
      </w:r>
      <w:bookmarkEnd w:id="12"/>
    </w:p>
    <w:p w14:paraId="4F85CDB6" w14:textId="77777777" w:rsidR="00705A6B" w:rsidRDefault="002B3839">
      <w:r>
        <w:t>I moduli operativi condividono struttura e criteri di interazione, ma presentano funzioni specifiche per il dominio trattato. Le liste espongono ricerca, filtri, paginazione o scorrimento controllato; i dettagli separano dati identificativi, relazioni e stato; le operazioni di inserimento e aggiornamento richiamano i cataloghi già presenti nel database, evitando valori duplicati o non normalizzati.</w:t>
      </w:r>
    </w:p>
    <w:p w14:paraId="5B31AD2F" w14:textId="7224C354" w:rsidR="00705A6B" w:rsidRPr="00C01A60" w:rsidRDefault="002B3839">
      <w:pPr>
        <w:pStyle w:val="Titolo2"/>
        <w:rPr>
          <w:rFonts w:ascii="Times New Roman" w:hAnsi="Times New Roman" w:cs="Times New Roman"/>
          <w:color w:val="1F5A73"/>
          <w:sz w:val="24"/>
          <w:szCs w:val="24"/>
        </w:rPr>
      </w:pPr>
      <w:bookmarkStart w:id="13" w:name="s81"/>
      <w:r w:rsidRPr="00C01A60">
        <w:rPr>
          <w:rFonts w:ascii="Times New Roman" w:hAnsi="Times New Roman" w:cs="Times New Roman"/>
          <w:color w:val="1F5A73"/>
          <w:sz w:val="24"/>
          <w:szCs w:val="24"/>
        </w:rPr>
        <w:lastRenderedPageBreak/>
        <w:t xml:space="preserve">8.1 </w:t>
      </w:r>
      <w:r w:rsidR="00C01A60">
        <w:rPr>
          <w:rFonts w:ascii="Times New Roman" w:hAnsi="Times New Roman" w:cs="Times New Roman"/>
          <w:color w:val="1F5A73"/>
          <w:sz w:val="24"/>
          <w:szCs w:val="24"/>
        </w:rPr>
        <w:t>Dashboard</w:t>
      </w:r>
      <w:r w:rsidRPr="00C01A60">
        <w:rPr>
          <w:rFonts w:ascii="Times New Roman" w:hAnsi="Times New Roman" w:cs="Times New Roman"/>
          <w:color w:val="1F5A73"/>
          <w:sz w:val="24"/>
          <w:szCs w:val="24"/>
        </w:rPr>
        <w:t xml:space="preserve"> </w:t>
      </w:r>
      <w:proofErr w:type="spellStart"/>
      <w:r w:rsidRPr="00C01A60">
        <w:rPr>
          <w:rFonts w:ascii="Times New Roman" w:hAnsi="Times New Roman" w:cs="Times New Roman"/>
          <w:color w:val="1F5A73"/>
          <w:sz w:val="24"/>
          <w:szCs w:val="24"/>
        </w:rPr>
        <w:t>operativa</w:t>
      </w:r>
      <w:bookmarkEnd w:id="13"/>
      <w:proofErr w:type="spellEnd"/>
    </w:p>
    <w:p w14:paraId="1BCDDDC3" w14:textId="73972EF8" w:rsidR="00705A6B" w:rsidRDefault="002B3839">
      <w:r>
        <w:t xml:space="preserve">La </w:t>
      </w:r>
      <w:r w:rsidR="00101BB4">
        <w:t>d</w:t>
      </w:r>
      <w:r w:rsidR="00C01A60">
        <w:t>ashboard</w:t>
      </w:r>
      <w:r>
        <w:t xml:space="preserve"> </w:t>
      </w:r>
      <w:proofErr w:type="spellStart"/>
      <w:r>
        <w:t>sintetizza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dell’organizzazione</w:t>
      </w:r>
      <w:proofErr w:type="spellEnd"/>
      <w:r>
        <w:t xml:space="preserve"> mediante indicatori relativi ad asset, criticità, servizi, fornitori, Supply Chain, incidenti e Audit Log. Le card fungono da punto di ingresso ai moduli e consentono di rilevare rapidamente elementi che richiedono attenzione. I dati derivano dalle viste e dalle query applicative, quindi rispettano la sessione e le policy RLS.</w:t>
      </w:r>
    </w:p>
    <w:p w14:paraId="43C134B7" w14:textId="1F19D6A7" w:rsidR="00705A6B" w:rsidRDefault="002B3839">
      <w:r>
        <w:t xml:space="preserve">La </w:t>
      </w:r>
      <w:r w:rsidR="00101BB4">
        <w:t>d</w:t>
      </w:r>
      <w:r w:rsidR="00C01A60">
        <w:t>ashboard</w:t>
      </w:r>
      <w:r>
        <w:t xml:space="preserve"> non </w:t>
      </w:r>
      <w:proofErr w:type="spellStart"/>
      <w:r>
        <w:t>sostituisce</w:t>
      </w:r>
      <w:proofErr w:type="spellEnd"/>
      <w:r>
        <w:t xml:space="preserve"> le </w:t>
      </w:r>
      <w:proofErr w:type="spellStart"/>
      <w:r>
        <w:t>viste</w:t>
      </w:r>
      <w:proofErr w:type="spellEnd"/>
      <w:r>
        <w:t xml:space="preserve"> </w:t>
      </w:r>
      <w:proofErr w:type="spellStart"/>
      <w:r>
        <w:t>analitiche</w:t>
      </w:r>
      <w:proofErr w:type="spellEnd"/>
      <w:r>
        <w:t>: presenta conteggi e priorità, mentre il dettaglio rimane nei moduli di dominio. Questa separazione limita la densità informativa e mantiene la pagina iniziale utilizzabile anche quando il dataset cresce.</w:t>
      </w:r>
    </w:p>
    <w:p w14:paraId="66103721" w14:textId="77777777" w:rsidR="00705A6B" w:rsidRPr="002B2E37" w:rsidRDefault="002B3839">
      <w:pPr>
        <w:pStyle w:val="Titolo2"/>
        <w:rPr>
          <w:rFonts w:ascii="Times New Roman" w:hAnsi="Times New Roman" w:cs="Times New Roman"/>
          <w:color w:val="1F5A73"/>
          <w:sz w:val="24"/>
          <w:szCs w:val="24"/>
        </w:rPr>
      </w:pPr>
      <w:bookmarkStart w:id="14" w:name="s82"/>
      <w:r w:rsidRPr="002B2E37">
        <w:rPr>
          <w:rFonts w:ascii="Times New Roman" w:hAnsi="Times New Roman" w:cs="Times New Roman"/>
          <w:color w:val="1F5A73"/>
          <w:sz w:val="24"/>
          <w:szCs w:val="24"/>
        </w:rPr>
        <w:t>8.2 Azienda e soggetti NIS2</w:t>
      </w:r>
      <w:bookmarkEnd w:id="14"/>
    </w:p>
    <w:p w14:paraId="171FE759" w14:textId="77777777" w:rsidR="00705A6B" w:rsidRDefault="002B3839">
      <w:r>
        <w:t>La sezione Azienda gestisce i soggetti NIS2 già censiti, le persone, i ruoli e gli incarichi. L’organizzazione selezionata viene riutilizzata nei moduli successivi, compreso il Profilo Target FNCSDP. L’utente non deve ricreare anagrafiche duplicate: i campi di selezione leggono i record attivi e mostrano codice, denominazione e classificazione.</w:t>
      </w:r>
    </w:p>
    <w:p w14:paraId="3DFB0C8F" w14:textId="77777777" w:rsidR="00705A6B" w:rsidRDefault="002B3839">
      <w:r>
        <w:t>Le entità archiviate sono separate dalle liste operative. Gli incarichi e le responsabilità mantengono la loro dimensione temporale, mentre l’interfaccia distingue chiaramente record correnti e storici. Questo comportamento rispecchia il modello backend senza esporre all’utente la complessità delle relazioni sottostanti.</w:t>
      </w:r>
    </w:p>
    <w:p w14:paraId="631DB1DF" w14:textId="77777777" w:rsidR="00705A6B" w:rsidRDefault="002B3839">
      <w:pPr>
        <w:pStyle w:val="Titolo2"/>
      </w:pPr>
      <w:bookmarkStart w:id="15" w:name="s83"/>
      <w:r w:rsidRPr="002B2E37">
        <w:rPr>
          <w:rFonts w:ascii="Times New Roman" w:hAnsi="Times New Roman" w:cs="Times New Roman"/>
          <w:color w:val="1F5A73"/>
          <w:sz w:val="24"/>
          <w:szCs w:val="24"/>
        </w:rPr>
        <w:t>8.3 Inventario e archiviazione logica</w:t>
      </w:r>
      <w:bookmarkEnd w:id="15"/>
    </w:p>
    <w:p w14:paraId="053DB5BF" w14:textId="77777777" w:rsidR="00705A6B" w:rsidRDefault="002B3839">
      <w:r>
        <w:t>L’Inventario Asset consente consultazione, ricerca, filtri, inserimento, modifica, dettaglio ed esportazione. I campi collegano asset a categoria, organizzazione e responsabile, utilizzando cataloghi e anagrafiche esistenti. Le criticità NIS2 e le informazioni tecniche sono presentate in forma leggibile, mentre i dettagli estesi rimangono disponibili senza appesantire la tabella principale.</w:t>
      </w:r>
    </w:p>
    <w:p w14:paraId="2B720BEC" w14:textId="77777777" w:rsidR="00705A6B" w:rsidRDefault="002B3839">
      <w:r>
        <w:t>L’archiviazione logica sostituisce la cancellazione fisica. Gli asset archiviati sono esclusi dalle viste operative e consultabili in una sezione separata, con data, utente e motivazione. L’export dedicato agli archiviati è di sola consultazione e non introduce funzioni di ripristino non previste dal progetto.</w:t>
      </w:r>
    </w:p>
    <w:p w14:paraId="514024AA" w14:textId="77777777" w:rsidR="00705A6B" w:rsidRDefault="002B3839">
      <w:pPr>
        <w:pStyle w:val="Titolo2"/>
      </w:pPr>
      <w:bookmarkStart w:id="16" w:name="s84"/>
      <w:r w:rsidRPr="002B2E37">
        <w:rPr>
          <w:rFonts w:ascii="Times New Roman" w:hAnsi="Times New Roman" w:cs="Times New Roman"/>
          <w:color w:val="1F5A73"/>
          <w:sz w:val="24"/>
          <w:szCs w:val="24"/>
        </w:rPr>
        <w:t>8.4 Servizi e fornitori</w:t>
      </w:r>
      <w:bookmarkEnd w:id="16"/>
    </w:p>
    <w:p w14:paraId="24CB75FC" w14:textId="77777777" w:rsidR="00705A6B" w:rsidRDefault="002B3839">
      <w:r>
        <w:t>I moduli Servizi e Fornitori utilizzano lo stesso impianto dell’inventario: elenco, nuovo record, dettaglio, cessazione o archiviazione. I servizi possono essere collegati a organizzazione, asset e fornitori; i fornitori possono partecipare a relazioni gerarchiche e di subfornitura. L’interfaccia presenta codici applicativi stabili e descrizioni, mentre i vincoli di integrità restano applicati dal database.</w:t>
      </w:r>
    </w:p>
    <w:p w14:paraId="2C7A116D" w14:textId="77777777" w:rsidR="00705A6B" w:rsidRDefault="002B3839">
      <w:r>
        <w:t>Le liste dei cessati mantengono lo storico separato dal lavoro corrente. Questa distinzione è importante per la Supply Chain, poiché una relazione chiusa deve rimanere ricostruibile ma non deve essere proposta come dipendenza attiva.</w:t>
      </w:r>
    </w:p>
    <w:p w14:paraId="61FB4402" w14:textId="77777777" w:rsidR="00705A6B" w:rsidRDefault="002B3839">
      <w:pPr>
        <w:pStyle w:val="Titolo2"/>
      </w:pPr>
      <w:bookmarkStart w:id="17" w:name="s85"/>
      <w:r w:rsidRPr="002B2E37">
        <w:rPr>
          <w:rFonts w:ascii="Times New Roman" w:hAnsi="Times New Roman" w:cs="Times New Roman"/>
          <w:color w:val="1F5A73"/>
          <w:sz w:val="24"/>
          <w:szCs w:val="24"/>
        </w:rPr>
        <w:t>8.5 Relazioni e Supply Chain</w:t>
      </w:r>
      <w:bookmarkEnd w:id="17"/>
    </w:p>
    <w:p w14:paraId="7F6CF084" w14:textId="77777777" w:rsidR="00705A6B" w:rsidRDefault="002B3839">
      <w:r>
        <w:t>La sezione Relazioni rappresenta le dipendenze tra servizi, asset, fornitori e subfornitori. La Supply Chain distingue percorsi diretti e derivati e presenta livelli, origine, elemento effettivo, tipologia della dipendenza ed eventuale ereditarietà. Il modulo utilizza le viste gerarchiche del backend, evitando di ricostruire nel browser regole che appartengono al database.</w:t>
      </w:r>
    </w:p>
    <w:p w14:paraId="1153F875" w14:textId="77777777" w:rsidR="00705A6B" w:rsidRDefault="002B3839">
      <w:r>
        <w:lastRenderedPageBreak/>
        <w:t>L’esportazione XLSX produce un foglio leggibile con colonne dedicate a servizio radice, servizio origine, asset, fornitore, relazione, percorso e descrizioni. Le larghezze e il ritorno a capo sono impostati per consentire la consultazione anche quando le catene sono articolate.</w:t>
      </w:r>
    </w:p>
    <w:p w14:paraId="5D6F67C2" w14:textId="77777777" w:rsidR="00705A6B" w:rsidRDefault="002B3839">
      <w:pPr>
        <w:pStyle w:val="Titolo2"/>
      </w:pPr>
      <w:bookmarkStart w:id="18" w:name="s86"/>
      <w:r w:rsidRPr="002B2E37">
        <w:rPr>
          <w:rFonts w:ascii="Times New Roman" w:hAnsi="Times New Roman" w:cs="Times New Roman"/>
          <w:color w:val="1F5A73"/>
          <w:sz w:val="24"/>
          <w:szCs w:val="24"/>
        </w:rPr>
        <w:t>8.6 Gestione degli incidenti</w:t>
      </w:r>
      <w:bookmarkEnd w:id="18"/>
    </w:p>
    <w:p w14:paraId="15EC73B7" w14:textId="77777777" w:rsidR="00705A6B" w:rsidRDefault="002B3839">
      <w:r>
        <w:t>Il modulo Incidenti separa segnalazioni aperte e chiuse e include un percorso guidato per la nuova registrazione. Il wizard raccoglie progressivamente contesto, servizio interessato, tassonomia ACN, descrizione, impatto e riepilogo. La scelta di una procedura guidata riduce il rischio di eventi incompleti e rende più comprensibile la classificazione.</w:t>
      </w:r>
    </w:p>
    <w:p w14:paraId="2B1FFF16" w14:textId="77777777" w:rsidR="00705A6B" w:rsidRDefault="002B3839">
      <w:r>
        <w:t>Il riepilogo finale può essere copiato o esportato e rimane collegato al record persistito. La chiusura dell’incidente è un’operazione esplicita; gli eventi storici restano consultabili e tracciati. Le regole di accesso sono le stesse delle altre tabelle operative.</w:t>
      </w:r>
    </w:p>
    <w:p w14:paraId="0589AD09" w14:textId="77777777" w:rsidR="00705A6B" w:rsidRPr="004B4BAB" w:rsidRDefault="002B3839" w:rsidP="004B4BAB">
      <w:pPr>
        <w:pStyle w:val="Titolo2"/>
        <w:rPr>
          <w:rFonts w:ascii="Times New Roman" w:hAnsi="Times New Roman" w:cs="Times New Roman"/>
          <w:color w:val="1F5A73"/>
          <w:sz w:val="24"/>
          <w:szCs w:val="24"/>
        </w:rPr>
      </w:pPr>
      <w:bookmarkStart w:id="19" w:name="s9"/>
      <w:r w:rsidRPr="004B4BAB">
        <w:rPr>
          <w:rFonts w:ascii="Times New Roman" w:hAnsi="Times New Roman" w:cs="Times New Roman"/>
          <w:color w:val="1F5A73"/>
          <w:sz w:val="24"/>
          <w:szCs w:val="24"/>
        </w:rPr>
        <w:t>9. Assessment FNCSDP</w:t>
      </w:r>
      <w:bookmarkEnd w:id="19"/>
    </w:p>
    <w:p w14:paraId="0DBFF509" w14:textId="6A13697E" w:rsidR="00705A6B" w:rsidRDefault="002B3839">
      <w:r>
        <w:t xml:space="preserve">Il modulo Assessment FNCSDP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aggiunto</w:t>
      </w:r>
      <w:proofErr w:type="spellEnd"/>
      <w:r>
        <w:t xml:space="preserve"> </w:t>
      </w:r>
      <w:r w:rsidR="004B4BAB">
        <w:t>requisite del</w:t>
      </w:r>
      <w:r>
        <w:t xml:space="preserve"> Project Work </w:t>
      </w:r>
      <w:proofErr w:type="spellStart"/>
      <w:r>
        <w:t>relativo</w:t>
      </w:r>
      <w:proofErr w:type="spellEnd"/>
      <w:r>
        <w:t xml:space="preserve"> ai </w:t>
      </w:r>
      <w:proofErr w:type="spellStart"/>
      <w:r>
        <w:t>Profili</w:t>
      </w:r>
      <w:proofErr w:type="spellEnd"/>
      <w:r>
        <w:t xml:space="preserve"> Target e Attuale. Il frontend traduce il modello normalizzato del backend in un percorso guidato composto da otto passaggi: creazione del Target, verifica dei sei controlli, approvazione, creazione dell’assessment, compilazione del Profilo Attuale, completamento, visualizzazione di score e gap, esportazione XLSX.</w:t>
      </w:r>
    </w:p>
    <w:p w14:paraId="182807AE" w14:textId="77777777" w:rsidR="00705A6B" w:rsidRDefault="002B3839">
      <w:r>
        <w:t>I sei controlli iniziali corrispondono alle Subcategory ID.AM-1 - ID.AM-6: sistemi e apparati fisici; piattaforme e applicazioni software; flussi di dati e comunicazioni; sistemi informativi esterni; classificazione e prioritizzazione delle risorse; ruoli e responsabilità cybersecurity. Il sistema li genera automaticamente per evitare inserimenti ripetitivi e mantenere la coerenza con il catalogo backend.</w:t>
      </w:r>
    </w:p>
    <w:p w14:paraId="52BB5488" w14:textId="77777777" w:rsidR="00705A6B" w:rsidRDefault="002B3839">
      <w:pPr>
        <w:pStyle w:val="Titolo2"/>
      </w:pPr>
      <w:bookmarkStart w:id="20" w:name="s91"/>
      <w:r w:rsidRPr="004124E0">
        <w:rPr>
          <w:rFonts w:ascii="Times New Roman" w:hAnsi="Times New Roman" w:cs="Times New Roman"/>
          <w:color w:val="1F5A73"/>
          <w:sz w:val="24"/>
          <w:szCs w:val="24"/>
        </w:rPr>
        <w:t>9.1 Profilo Target</w:t>
      </w:r>
      <w:bookmarkEnd w:id="20"/>
    </w:p>
    <w:p w14:paraId="77A6D9B1" w14:textId="77777777" w:rsidR="00705A6B" w:rsidRDefault="002B3839">
      <w:r>
        <w:t>La creazione del Profilo Target richiede la selezione di un soggetto NIS2 già presente, codice, nome, perimetro e descrizione. Prima della registrazione viene mostrato un riepilogo; l’utente può modificare i dati oppure confermare. Dopo la creazione, i sei controlli sono disponibili con copertura desiderata e descrizione. Finché il Target è in bozza, le informazioni possono essere corrette.</w:t>
      </w:r>
    </w:p>
    <w:p w14:paraId="56FA57E8" w14:textId="77777777" w:rsidR="00705A6B" w:rsidRDefault="002B3839">
      <w:r>
        <w:t>L’approvazione rende il Target immutabile e abilita la creazione del Profilo Attuale. L’interfaccia non presenta più campi modificabili ma testi leggibili e stato APPROVATO. Il collegamento al soggetto NIS2 rimane visibile nel riepilogo e consente di comprendere immediatamente il perimetro dell’assessment.</w:t>
      </w:r>
    </w:p>
    <w:p w14:paraId="5D0B3BD1" w14:textId="77777777" w:rsidR="00705A6B" w:rsidRDefault="002B3839">
      <w:pPr>
        <w:pStyle w:val="Titolo2"/>
      </w:pPr>
      <w:bookmarkStart w:id="21" w:name="s92"/>
      <w:r w:rsidRPr="004124E0">
        <w:rPr>
          <w:rFonts w:ascii="Times New Roman" w:hAnsi="Times New Roman" w:cs="Times New Roman"/>
          <w:color w:val="1F5A73"/>
          <w:sz w:val="24"/>
          <w:szCs w:val="24"/>
        </w:rPr>
        <w:t>9.2 Profilo Attuale e misure</w:t>
      </w:r>
      <w:bookmarkEnd w:id="21"/>
    </w:p>
    <w:p w14:paraId="1302A748" w14:textId="77777777" w:rsidR="00705A6B" w:rsidRDefault="002B3839">
      <w:r>
        <w:t>L’assessment è creato a partire da un Target approvato. La prima misura incompleta viene aperta automaticamente e il comando Salva e prossimo accompagna l’utente fino al sesto controllo. Ogni misura raccoglie risposta dell’intervistato, grado di copertura, maturità CMMI, note, evidenze e osservazioni dell’assessor.</w:t>
      </w:r>
    </w:p>
    <w:p w14:paraId="67D82D47" w14:textId="77777777" w:rsidR="00705A6B" w:rsidRDefault="002B3839">
      <w:r>
        <w:t>La maturità è coerente con la copertura: quando la copertura è zero, la maturità diventa non applicabile. L’avanzamento è calcolato sul numero di misure completate e aggiornato dopo ogni salvataggio. Questa impostazione riduce le operazioni manuali e rende evidente lo stato del lavoro.</w:t>
      </w:r>
    </w:p>
    <w:p w14:paraId="6B4DD881" w14:textId="77777777" w:rsidR="00705A6B" w:rsidRPr="004124E0" w:rsidRDefault="002B3839">
      <w:pPr>
        <w:pStyle w:val="Titolo2"/>
        <w:rPr>
          <w:rFonts w:ascii="Times New Roman" w:hAnsi="Times New Roman" w:cs="Times New Roman"/>
          <w:color w:val="1F5A73"/>
          <w:sz w:val="24"/>
          <w:szCs w:val="24"/>
        </w:rPr>
      </w:pPr>
      <w:bookmarkStart w:id="22" w:name="s93"/>
      <w:r w:rsidRPr="004124E0">
        <w:rPr>
          <w:rFonts w:ascii="Times New Roman" w:hAnsi="Times New Roman" w:cs="Times New Roman"/>
          <w:color w:val="1F5A73"/>
          <w:sz w:val="24"/>
          <w:szCs w:val="24"/>
        </w:rPr>
        <w:lastRenderedPageBreak/>
        <w:t xml:space="preserve">9.3 </w:t>
      </w:r>
      <w:proofErr w:type="spellStart"/>
      <w:r w:rsidRPr="004124E0">
        <w:rPr>
          <w:rFonts w:ascii="Times New Roman" w:hAnsi="Times New Roman" w:cs="Times New Roman"/>
          <w:color w:val="1F5A73"/>
          <w:sz w:val="24"/>
          <w:szCs w:val="24"/>
        </w:rPr>
        <w:t>Valutazione</w:t>
      </w:r>
      <w:proofErr w:type="spellEnd"/>
      <w:r w:rsidRPr="004124E0">
        <w:rPr>
          <w:rFonts w:ascii="Times New Roman" w:hAnsi="Times New Roman" w:cs="Times New Roman"/>
          <w:color w:val="1F5A73"/>
          <w:sz w:val="24"/>
          <w:szCs w:val="24"/>
        </w:rPr>
        <w:t>, score e gap</w:t>
      </w:r>
      <w:bookmarkEnd w:id="22"/>
    </w:p>
    <w:p w14:paraId="2477B34B" w14:textId="77777777" w:rsidR="00705A6B" w:rsidRDefault="002B3839">
      <w:r>
        <w:t>Dopo il completamento delle sei misure, il sistema presenta avanzamento, score, gap e maturità media indicativa. La tabella analitica confronta Target e copertura attuale per ciascun controllo, mostra la maturità e consente di visualizzare il dettaglio. Score e gap derivano dalle viste del backend e non vengono ricalcolati con formule autonome nel browser.</w:t>
      </w:r>
    </w:p>
    <w:p w14:paraId="1F26036A" w14:textId="77777777" w:rsidR="00705A6B" w:rsidRDefault="002B3839">
      <w:r>
        <w:t>Nel collaudo conclusivo l’assessment ASS-2026-01 collegato al Target PT-2026-01 ha raggiunto il 100 per cento di avanzamento, score 67 per cento, gap 33 per cento e maturità media 3,17 su 5. I valori sono stati verificati dopo ricaricamento della pagina e riapertura del dettaglio, confermando la persistenza dei dati.</w:t>
      </w:r>
    </w:p>
    <w:p w14:paraId="105DB1B5" w14:textId="77777777" w:rsidR="00705A6B" w:rsidRDefault="002B3839">
      <w:pPr>
        <w:pStyle w:val="Titolo2"/>
      </w:pPr>
      <w:bookmarkStart w:id="23" w:name="s94"/>
      <w:r w:rsidRPr="004124E0">
        <w:rPr>
          <w:rFonts w:ascii="Times New Roman" w:hAnsi="Times New Roman" w:cs="Times New Roman"/>
          <w:color w:val="1F5A73"/>
          <w:sz w:val="24"/>
          <w:szCs w:val="24"/>
        </w:rPr>
        <w:t>9.4 Esportazione XLSX e sola lettura</w:t>
      </w:r>
      <w:bookmarkEnd w:id="23"/>
    </w:p>
    <w:p w14:paraId="75772911" w14:textId="77777777" w:rsidR="00705A6B" w:rsidRDefault="002B3839">
      <w:r>
        <w:t>L’esportazione dell’assessment produce cinque fogli: Riepilogo, Profilo Target, Profilo Attuale, Mapping FNCSDP e Metadati. Il file conserva le informazioni necessarie a ricostruire il confronto tra postura desiderata e misurata, senza dipendere dalla visualizzazione web.</w:t>
      </w:r>
    </w:p>
    <w:p w14:paraId="776F79D8" w14:textId="77777777" w:rsidR="00705A6B" w:rsidRDefault="002B3839">
      <w:r>
        <w:t>Dopo il completamento, i comandi Compila diventano Visualizza. Copertura, maturità, risposte, note ed evidenze restano consultabili ma non modificabili. Il test di sola lettura è stato eseguito su più controlli, chiudendo e riaprendo il dialogo senza perdita di dati e senza possibilità di alterare la misura.</w:t>
      </w:r>
    </w:p>
    <w:p w14:paraId="0AA2394D" w14:textId="77777777" w:rsidR="00705A6B" w:rsidRPr="004124E0" w:rsidRDefault="002B3839" w:rsidP="004124E0">
      <w:pPr>
        <w:pStyle w:val="Titolo2"/>
        <w:rPr>
          <w:rFonts w:ascii="Times New Roman" w:hAnsi="Times New Roman" w:cs="Times New Roman"/>
          <w:color w:val="1F5A73"/>
          <w:sz w:val="24"/>
          <w:szCs w:val="24"/>
        </w:rPr>
      </w:pPr>
      <w:bookmarkStart w:id="24" w:name="s10"/>
      <w:r w:rsidRPr="004124E0">
        <w:rPr>
          <w:rFonts w:ascii="Times New Roman" w:hAnsi="Times New Roman" w:cs="Times New Roman"/>
          <w:color w:val="1F5A73"/>
          <w:sz w:val="24"/>
          <w:szCs w:val="24"/>
        </w:rPr>
        <w:t>10. Audit Log e tracciabilità applicativa</w:t>
      </w:r>
      <w:bookmarkEnd w:id="24"/>
    </w:p>
    <w:p w14:paraId="0C7CECC2" w14:textId="77777777" w:rsidR="00705A6B" w:rsidRDefault="002B3839">
      <w:r>
        <w:t>L’Audit Log espone gli eventi prodotti dal backend in una vista leggibile. La pagina consente ricerca libera, filtro per tabella, entità, operazione, utente e intervallo temporale, paginazione e export dei risultati filtrati. Il dettaglio presenta data, tabella, entità, record, utente, AAL, ruoli e payload JSON precedente e successivo.</w:t>
      </w:r>
    </w:p>
    <w:p w14:paraId="2F938147" w14:textId="77777777" w:rsidR="00705A6B" w:rsidRDefault="002B3839">
      <w:r>
        <w:t>L’integrazione FNCSDP raggruppa le sei tabelle sotto l’entità Assessment FNCSDP. La ricerca per codice ASS recupera assessment e misure collegate; la ricerca per codice PT ricostruisce Target, controlli, assessment e misure; la ricerca fncsdp restituisce l’intero perimetro del modulo. I record delle misure sono mostrati con controllo e codice assessment, rendendo il registro comprensibile anche senza conoscere gli identificativi tecnici.</w:t>
      </w:r>
    </w:p>
    <w:p w14:paraId="48D3607A" w14:textId="368C555E" w:rsidR="00705A6B" w:rsidRDefault="002B3839">
      <w:r>
        <w:t xml:space="preserve">L’esportazione Audit Log applica gli stessi filtri mostrati a video. Il collaudo ha verificato 28 eventi nel perimetro FNCSDP e il </w:t>
      </w:r>
      <w:proofErr w:type="spellStart"/>
      <w:r>
        <w:t>dettaglio</w:t>
      </w:r>
      <w:proofErr w:type="spellEnd"/>
      <w:r>
        <w:t xml:space="preserve"> di </w:t>
      </w:r>
      <w:proofErr w:type="spellStart"/>
      <w:r>
        <w:t>eventi</w:t>
      </w:r>
      <w:proofErr w:type="spellEnd"/>
      <w:r>
        <w:t xml:space="preserve"> </w:t>
      </w:r>
      <w:proofErr w:type="spellStart"/>
      <w:r>
        <w:t>associati</w:t>
      </w:r>
      <w:proofErr w:type="spellEnd"/>
      <w:r>
        <w:t xml:space="preserve"> </w:t>
      </w:r>
      <w:proofErr w:type="spellStart"/>
      <w:r>
        <w:t>all’utente</w:t>
      </w:r>
      <w:proofErr w:type="spellEnd"/>
      <w:r>
        <w:t xml:space="preserve"> docentepegaso@gmail.com.</w:t>
      </w:r>
    </w:p>
    <w:p w14:paraId="7029006F" w14:textId="77777777" w:rsidR="00705A6B" w:rsidRDefault="002B3839">
      <w:pPr>
        <w:pStyle w:val="Titolo1"/>
      </w:pPr>
      <w:bookmarkStart w:id="25" w:name="s11"/>
      <w:r w:rsidRPr="004124E0">
        <w:rPr>
          <w:rFonts w:ascii="Times New Roman" w:hAnsi="Times New Roman" w:cs="Times New Roman"/>
          <w:sz w:val="24"/>
          <w:szCs w:val="24"/>
        </w:rPr>
        <w:t>11. Importazioni, esportazioni e reporting</w:t>
      </w:r>
      <w:bookmarkEnd w:id="25"/>
    </w:p>
    <w:p w14:paraId="7002938A" w14:textId="77777777" w:rsidR="00705A6B" w:rsidRDefault="002B3839">
      <w:r>
        <w:t>Le funzioni di esportazione sono distribuite nei moduli in cui producono valore operativo. Inventario, archiviati, Supply Chain, incidenti, Audit Log e Assessment generano file distinti e coerenti con il contenuto visualizzato. I fogli includono intestazioni, filtri, larghezze deliberate, ritorno a capo, metadati e criteri applicati, così il file rimane interpretabile fuori dall’applicazione.</w:t>
      </w:r>
    </w:p>
    <w:p w14:paraId="2DE300A8" w14:textId="77777777" w:rsidR="00705A6B" w:rsidRDefault="002B3839">
      <w:r>
        <w:t>Il modello ufficiale di importazione asset separa il foglio di inserimento dai valori di supporto ricavati dal database. Questa impostazione guida l’utente nella scelta di categoria, organizzazione e responsabile, riduce gli errori di digitazione e conserva il controllo finale sul backend. Le importazioni non aggirano i vincoli: ogni riga viene comunque sottoposta alle regole previste dalle API e dal database.</w:t>
      </w:r>
    </w:p>
    <w:tbl>
      <w:tblPr>
        <w:tblStyle w:val="Grigliatabel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944"/>
        <w:gridCol w:w="4968"/>
      </w:tblGrid>
      <w:tr w:rsidR="00705A6B" w14:paraId="37F83203" w14:textId="77777777">
        <w:trPr>
          <w:tblHeader/>
          <w:jc w:val="center"/>
        </w:trPr>
        <w:tc>
          <w:tcPr>
            <w:tcW w:w="2376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CF9AE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lastRenderedPageBreak/>
              <w:t>Ambito</w:t>
            </w:r>
          </w:p>
        </w:tc>
        <w:tc>
          <w:tcPr>
            <w:tcW w:w="1944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38172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Formato</w:t>
            </w:r>
          </w:p>
        </w:tc>
        <w:tc>
          <w:tcPr>
            <w:tcW w:w="4968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9C85C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Contenuto principale</w:t>
            </w:r>
          </w:p>
        </w:tc>
      </w:tr>
      <w:tr w:rsidR="00705A6B" w14:paraId="5076320B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36698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Inventario filtrato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3B653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XLSX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67794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Asset visualizzati e criteri di ricerca</w:t>
            </w:r>
          </w:p>
        </w:tc>
      </w:tr>
      <w:tr w:rsidR="00705A6B" w14:paraId="55B31FB1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AC28F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Asset archiviati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6DDB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XLSX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563D2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Record storici e metadati di archiviazione</w:t>
            </w:r>
          </w:p>
        </w:tc>
      </w:tr>
      <w:tr w:rsidR="00705A6B" w14:paraId="354E0EA9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3B02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Supply Chain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A973E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XLSX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9311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Percorsi diretti e derivati con livelli e relazioni</w:t>
            </w:r>
          </w:p>
        </w:tc>
      </w:tr>
      <w:tr w:rsidR="00705A6B" w14:paraId="6AED0B58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53D2B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Incidenti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850F3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Testo/XLSX secondo funzione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621D6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Riepilogo e dati della segnalazione</w:t>
            </w:r>
          </w:p>
        </w:tc>
      </w:tr>
      <w:tr w:rsidR="00705A6B" w14:paraId="078B38A8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931DF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Assessment FNCSDP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AF814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XLSX a cinque fogli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BD65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Target, Attuale, mapping, risultati e metadati</w:t>
            </w:r>
          </w:p>
        </w:tc>
      </w:tr>
      <w:tr w:rsidR="00705A6B" w14:paraId="20DADF88" w14:textId="77777777">
        <w:trPr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92A9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Audit Log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46CE4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XLSX</w:t>
            </w:r>
          </w:p>
        </w:tc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22A3A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Eventi corrispondenti ai filtri correnti</w:t>
            </w:r>
          </w:p>
        </w:tc>
      </w:tr>
    </w:tbl>
    <w:p w14:paraId="07BE2825" w14:textId="77777777" w:rsidR="00705A6B" w:rsidRDefault="00705A6B">
      <w:pPr>
        <w:spacing w:after="0"/>
      </w:pPr>
    </w:p>
    <w:p w14:paraId="2516CEB6" w14:textId="77777777" w:rsidR="00705A6B" w:rsidRPr="007E20DD" w:rsidRDefault="002B3839">
      <w:pPr>
        <w:pStyle w:val="Titolo1"/>
        <w:rPr>
          <w:rFonts w:ascii="Times New Roman" w:hAnsi="Times New Roman" w:cs="Times New Roman"/>
          <w:sz w:val="24"/>
          <w:szCs w:val="24"/>
        </w:rPr>
      </w:pPr>
      <w:bookmarkStart w:id="26" w:name="s12"/>
      <w:r w:rsidRPr="007E20DD">
        <w:rPr>
          <w:rFonts w:ascii="Times New Roman" w:hAnsi="Times New Roman" w:cs="Times New Roman"/>
          <w:sz w:val="24"/>
          <w:szCs w:val="24"/>
        </w:rPr>
        <w:t>12. Supporto, lingua e ringraziamenti</w:t>
      </w:r>
      <w:bookmarkEnd w:id="26"/>
    </w:p>
    <w:p w14:paraId="7704E997" w14:textId="77777777" w:rsidR="00705A6B" w:rsidRDefault="002B3839">
      <w:r>
        <w:t>La pagina Informazioni e guida descrive finalità, architettura, sicurezza e contesto del Project Work. La versione finale riporta 36 tabelle in 3FN, 11 viste principali, autenticazione, RLS, Audit Log, archiviazione logica e metodologia FNCSDP. Un riquadro Percorso operativo sintetizza la sequenza Soggetti NIS2, Inventario, Servizi e fornitori, Relazioni e Supply Chain, Incidenti, Assessment FNCSDP, Audit Log ed esportazioni.</w:t>
      </w:r>
    </w:p>
    <w:p w14:paraId="12823F05" w14:textId="77777777" w:rsidR="00705A6B" w:rsidRDefault="002B3839">
      <w:r>
        <w:t>Il selettore IT/EN applica le stringhe disponibili senza modificare i dati. Il tema chiaro o scuro viene gestito come preferenza di interfaccia. Queste funzioni sono collocate nell’header e restano accessibili in tutte le viste, senza interferire con il contenuto operativo.</w:t>
      </w:r>
    </w:p>
    <w:p w14:paraId="29B84B5B" w14:textId="029A75C1" w:rsidR="00705A6B" w:rsidRDefault="002B3839">
      <w:r>
        <w:t xml:space="preserve">La sezione Ringraziamenti è separata dai gruppi funzionali. La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lo stile del progetto e introduce un elemento personale senza confonderlo con le funzioni applicative.</w:t>
      </w:r>
    </w:p>
    <w:p w14:paraId="1E2F9FCD" w14:textId="77777777" w:rsidR="00705A6B" w:rsidRDefault="002B3839">
      <w:pPr>
        <w:pStyle w:val="Titolo1"/>
      </w:pPr>
      <w:bookmarkStart w:id="27" w:name="s13"/>
      <w:r w:rsidRPr="007802B9">
        <w:rPr>
          <w:rFonts w:ascii="Times New Roman" w:hAnsi="Times New Roman" w:cs="Times New Roman"/>
          <w:sz w:val="24"/>
          <w:szCs w:val="24"/>
        </w:rPr>
        <w:t>13. Sicurezza frontend e gestione degli errori</w:t>
      </w:r>
      <w:bookmarkEnd w:id="27"/>
    </w:p>
    <w:p w14:paraId="241248BA" w14:textId="77777777" w:rsidR="00705A6B" w:rsidRDefault="002B3839">
      <w:r>
        <w:t>La sicurezza del client è basata sul principio che il browser non è un ambiente affidabile. Il frontend controlla sessione, rotta e stato dei comandi, ma le autorizzazioni decisive sono applicate dal backend tramite privilegi PostgreSQL, RLS, funzioni controllate e trigger. La chiave pubblica utilizzata dal client non concede da sola accesso ai dati; ogni richiesta rimane soggetta all’identità e alle policy.</w:t>
      </w:r>
    </w:p>
    <w:p w14:paraId="6C7CC575" w14:textId="77777777" w:rsidR="00705A6B" w:rsidRDefault="002B3839">
      <w:r>
        <w:t>Le operazioni sensibili richiedono stati coerenti: un Target deve essere approvato prima di creare un assessment; un assessment deve contenere tutte le misure prima del completamento; un assessment completato e un Target approvato diventano di sola lettura. I pulsanti sono abilitati o disabilitati in base allo stato restituito, mentre il backend impedisce comunque transizioni non ammesse.</w:t>
      </w:r>
    </w:p>
    <w:p w14:paraId="09B01B0F" w14:textId="24710A1B" w:rsidR="00705A6B" w:rsidRDefault="002B3839">
      <w:r>
        <w:t xml:space="preserve">Gli errori vengono riportati con messaggi comprensibili e i pulsanti temporaneamente disabilitati durante operazioni asincrone. La console finale non ha mostrato errori provenienti da index.html, dai moduli src, da Supabase o dalle risorse del progetto. </w:t>
      </w:r>
    </w:p>
    <w:p w14:paraId="440AC42C" w14:textId="77777777" w:rsidR="00705A6B" w:rsidRPr="007802B9" w:rsidRDefault="002B3839">
      <w:pPr>
        <w:pStyle w:val="Titolo1"/>
        <w:rPr>
          <w:rFonts w:ascii="Times New Roman" w:hAnsi="Times New Roman" w:cs="Times New Roman"/>
          <w:sz w:val="24"/>
          <w:szCs w:val="24"/>
        </w:rPr>
      </w:pPr>
      <w:bookmarkStart w:id="28" w:name="s14"/>
      <w:r w:rsidRPr="007802B9">
        <w:rPr>
          <w:rFonts w:ascii="Times New Roman" w:hAnsi="Times New Roman" w:cs="Times New Roman"/>
          <w:sz w:val="24"/>
          <w:szCs w:val="24"/>
        </w:rPr>
        <w:t>14. Responsive design, accessibilità e coerenza visiva</w:t>
      </w:r>
      <w:bookmarkEnd w:id="28"/>
    </w:p>
    <w:p w14:paraId="6C14AEE3" w14:textId="77777777" w:rsidR="00705A6B" w:rsidRDefault="002B3839">
      <w:r>
        <w:t>Il layout è progettato per desktop, tablet e smartphone. Le griglie riducono il numero di colonne quando lo spazio diminuisce, le tabelle utilizzano il ritorno a capo o lo scorrimento controllato, i dialoghi limitano l’altezza e mantengono le azioni raggiungibili. Nel modulo FNCSDP, Profilo Target e Profilo Attuale occupano la larghezza necessaria senza comprimere descrizioni e valori.</w:t>
      </w:r>
    </w:p>
    <w:p w14:paraId="708631AC" w14:textId="77777777" w:rsidR="00705A6B" w:rsidRDefault="002B3839">
      <w:r>
        <w:lastRenderedPageBreak/>
        <w:t>La struttura HTML utilizza header, nav, main, section, article, footer, titoli gerarchici e label. Il collegamento Vai al contenuto principale consente di saltare la navigazione; i controlli possiedono etichette accessibili; la voce attiva usa aria-current; i dialoghi possono essere chiusi con comandi visibili. Il contrasto tra fondo, testo e pulsanti è coerente con il tema scuro e con la variante chiara.</w:t>
      </w:r>
    </w:p>
    <w:p w14:paraId="672C9363" w14:textId="77777777" w:rsidR="00705A6B" w:rsidRDefault="002B3839">
      <w:r>
        <w:t>La coerenza visiva è stata mantenuta anche dopo l’introduzione del logo. Il simbolo è più grande soltanto nella home pubblica, mentre nell’header rimane compatto. Card, badge, pulsanti, tabelle e finestre conservano la stessa palette blu, ciano e tonalità di supporto. Il risultato evita sia l’eccesso decorativo sia l’aspetto di un prototipo non rifinito.</w:t>
      </w:r>
    </w:p>
    <w:p w14:paraId="341F1934" w14:textId="77777777" w:rsidR="00705A6B" w:rsidRDefault="002B3839">
      <w:pPr>
        <w:pStyle w:val="Titolo1"/>
      </w:pPr>
      <w:bookmarkStart w:id="29" w:name="s15"/>
      <w:r w:rsidRPr="007802B9">
        <w:rPr>
          <w:rFonts w:ascii="Times New Roman" w:hAnsi="Times New Roman" w:cs="Times New Roman"/>
          <w:sz w:val="24"/>
          <w:szCs w:val="24"/>
        </w:rPr>
        <w:t>15. Collaudo funzionale conclusivo</w:t>
      </w:r>
      <w:bookmarkEnd w:id="29"/>
    </w:p>
    <w:p w14:paraId="2816AA5F" w14:textId="77777777" w:rsidR="00705A6B" w:rsidRDefault="002B3839">
      <w:r>
        <w:t>Il collaudo è stato eseguito progressivamente durante lo sviluppo e ripetuto sulla build finale. Le verifiche hanno riguardato accesso, navigazione, persistenza, operazioni principali, esportazioni, tracciamento e console. Ogni correzione è stata pubblicata tramite GitHub Pages e verificata dopo il completamento del relativo workflow.</w:t>
      </w:r>
    </w:p>
    <w:tbl>
      <w:tblPr>
        <w:tblStyle w:val="Grigliatabel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832"/>
        <w:gridCol w:w="1512"/>
      </w:tblGrid>
      <w:tr w:rsidR="00705A6B" w14:paraId="4DAFB6B9" w14:textId="77777777">
        <w:trPr>
          <w:tblHeader/>
          <w:jc w:val="center"/>
        </w:trPr>
        <w:tc>
          <w:tcPr>
            <w:tcW w:w="1944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2C71F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Area</w:t>
            </w:r>
          </w:p>
        </w:tc>
        <w:tc>
          <w:tcPr>
            <w:tcW w:w="5832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DA41E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Verifica eseguita</w:t>
            </w:r>
          </w:p>
        </w:tc>
        <w:tc>
          <w:tcPr>
            <w:tcW w:w="1512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DBAB0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Esito</w:t>
            </w:r>
          </w:p>
        </w:tc>
      </w:tr>
      <w:tr w:rsidR="00705A6B" w14:paraId="7A2E84B9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1BE4E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Home e branding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EB425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Logo esteso, logo header, favicon, testi e tema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1A1F2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37578EEC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6ACCF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Autenticazione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067E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Login, sessione, identità, logout e audit accessi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FCA10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483726CA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2B5A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Navigazione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05B55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Menu verticale, hash, breadcrumb, refresh e cronologia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C892C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4DE2ECFE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7EA01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Anagrafiche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8DAF1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Consultazione, inserimento, modifica e archiviazione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41A55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2DB92E64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ABC5E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Supply Chain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931C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Percorsi multilivello e export XLSX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83C2C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12E25EF4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573F7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Incidenti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EA912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Wizard, riepilogo, aperti e chiusi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8BEF4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60D2F205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165A0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Assessment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45A54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Target, sei misure, completamento, score e gap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A32FD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1C009C7C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B890E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Sola lettura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58C64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Visualizzazione misure dopo completamento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7BBE9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1FBB74BA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FF56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Audit Log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708C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Filtri PT/ASS/FNCSDP, dettaglio JSON ed export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96EC6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5B4468B7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9D264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Persistenza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949D3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F5 e riapertura di Target e assessment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21B76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52C155A2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20F37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Console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EAFE9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Assenza di errori applicativi; estensioni escluse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F4BF3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  <w:tr w:rsidR="00705A6B" w14:paraId="1772C336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F1612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Deployment</w:t>
            </w:r>
          </w:p>
        </w:tc>
        <w:tc>
          <w:tcPr>
            <w:tcW w:w="58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E91CC" w14:textId="438D3AA8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 xml:space="preserve">Workflow GitHub Pages e build </w:t>
            </w:r>
            <w:r w:rsidR="00BC1B28">
              <w:rPr>
                <w:sz w:val="20"/>
              </w:rPr>
              <w:t>20260730-f11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C101B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Superata</w:t>
            </w:r>
          </w:p>
        </w:tc>
      </w:tr>
    </w:tbl>
    <w:p w14:paraId="28B7BB92" w14:textId="77777777" w:rsidR="00705A6B" w:rsidRDefault="00705A6B">
      <w:pPr>
        <w:spacing w:after="0"/>
      </w:pPr>
    </w:p>
    <w:p w14:paraId="2BA3986C" w14:textId="77777777" w:rsidR="00705A6B" w:rsidRDefault="002B3839">
      <w:r>
        <w:t>Il caso FNCSDP utilizzato come evidenza finale comprende Target PT-2026-01 in stato APPROVATO e assessment ASS-2026-01 in stato COMPLETATO. L’avanzamento è 100 per cento, lo score 67 per cento, il gap 33 per cento e la maturità media indicativa 3,17 su 5. L’export a cinque fogli, la sola lettura e gli eventi dell’Audit Log sono stati verificati con esito positivo.</w:t>
      </w:r>
    </w:p>
    <w:p w14:paraId="3E1B2C8B" w14:textId="77777777" w:rsidR="00705A6B" w:rsidRDefault="002B3839">
      <w:pPr>
        <w:pStyle w:val="Titolo1"/>
      </w:pPr>
      <w:bookmarkStart w:id="30" w:name="s16"/>
      <w:r w:rsidRPr="007802B9">
        <w:rPr>
          <w:rFonts w:ascii="Times New Roman" w:hAnsi="Times New Roman" w:cs="Times New Roman"/>
          <w:sz w:val="24"/>
          <w:szCs w:val="24"/>
        </w:rPr>
        <w:t>16. Repository, deployment e gestione delle versioni</w:t>
      </w:r>
      <w:bookmarkEnd w:id="30"/>
    </w:p>
    <w:p w14:paraId="3388AB03" w14:textId="77777777" w:rsidR="00705A6B" w:rsidRDefault="002B3839">
      <w:r>
        <w:t>Il repository conserva index.html e README.md nella radice, il codice applicativo in src, le risorse grafiche in assets/branding, gli script in sql e la documentazione in docs. La pubblicazione deriva dal ramo main. Il numero di build è aggiornato nei punti visibili dell’interfaccia per rendere riconoscibile la versione effettivamente distribuita.</w:t>
      </w:r>
    </w:p>
    <w:p w14:paraId="1D1555C1" w14:textId="77777777" w:rsidR="00705A6B" w:rsidRDefault="002B3839">
      <w:r>
        <w:t xml:space="preserve">Il flusso adottato è sviluppo e verifica dei file, commit descrittivo, attesa del workflow pages build and deployment, ricaricamento forzato e collaudo. Quando più workflow sono in coda, si attende </w:t>
      </w:r>
      <w:r>
        <w:lastRenderedPageBreak/>
        <w:t>il completamento dell’ultimo commit invece di generare modifiche prive di contenuto. Lo ZIP locale viene scaricato dopo la chiusura delle modifiche e rappresenta la copia completa allineata al repository.</w:t>
      </w:r>
    </w:p>
    <w:p w14:paraId="5687816A" w14:textId="77777777" w:rsidR="00705A6B" w:rsidRDefault="002B3839">
      <w:r>
        <w:t>La documentazione frontend deve essere conservata in docs insieme al diagramma di navigazione. README.md e docs/README.md saranno riallineati in una fase successiva per riportare la relazione, il modello ER, la pipeline backend, il diagramma frontend e il documento principale del PW.</w:t>
      </w:r>
    </w:p>
    <w:p w14:paraId="277C911B" w14:textId="77777777" w:rsidR="00705A6B" w:rsidRPr="004753B5" w:rsidRDefault="002B3839">
      <w:pPr>
        <w:pStyle w:val="Titolo1"/>
        <w:rPr>
          <w:rFonts w:ascii="Times New Roman" w:hAnsi="Times New Roman" w:cs="Times New Roman"/>
          <w:sz w:val="24"/>
          <w:szCs w:val="24"/>
        </w:rPr>
      </w:pPr>
      <w:bookmarkStart w:id="31" w:name="s17"/>
      <w:r w:rsidRPr="004753B5">
        <w:rPr>
          <w:rFonts w:ascii="Times New Roman" w:hAnsi="Times New Roman" w:cs="Times New Roman"/>
          <w:sz w:val="24"/>
          <w:szCs w:val="24"/>
        </w:rPr>
        <w:t>17. Conclusioni</w:t>
      </w:r>
      <w:bookmarkEnd w:id="31"/>
    </w:p>
    <w:p w14:paraId="70D78B3A" w14:textId="77777777" w:rsidR="00705A6B" w:rsidRDefault="002B3839">
      <w:r>
        <w:t>Il frontend del NIS2 Asset Inventory Manager realizza un’interfaccia unitaria per dati operativi e conformità. L’architettura modulare, la navigazione coerente e l’integrazione con Supabase consentono di utilizzare un backend articolato senza esporre la complessità delle tabelle, delle policy e delle funzioni. Inventario, servizi, fornitori, dipendenze, incidenti, Assessment FNCSDP e Audit Log sono riuniti in un percorso comprensibile e verificabile.</w:t>
      </w:r>
    </w:p>
    <w:p w14:paraId="180528C8" w14:textId="77777777" w:rsidR="00705A6B" w:rsidRDefault="002B3839">
      <w:r>
        <w:t>Il valore dell’interfaccia non deriva soltanto dal numero di schermate, ma dalla capacità di guidare gli stati e prevenire incoerenze: selezione di soggetti già censiti, conferma prima della creazione, approvazione del Target, compilazione progressiva delle misure, sola lettura dopo il completamento, esportazioni strutturate e ricerca correlata nell’Audit Log. Questi elementi semplificano il lavoro dell’utente senza indebolire i controlli del backend.</w:t>
      </w:r>
    </w:p>
    <w:p w14:paraId="18FA4C1D" w14:textId="5D964C21" w:rsidR="00705A6B" w:rsidRDefault="002B3839">
      <w:r>
        <w:t>La build 20260730-f1</w:t>
      </w:r>
      <w:r w:rsidR="004753B5">
        <w:t>1</w:t>
      </w:r>
      <w:r>
        <w:t xml:space="preserve"> conclude il collaudo tecnico e funzionale del frontend. Le attività residue riguardano l’allineamento del README, dell’indice docs e del documento principale del Project Work. La presente relazione e il diagramma di navigazione V5 costituiscono gli allegati tecnici definitivi dedicati all’applicativo web.</w:t>
      </w:r>
    </w:p>
    <w:p w14:paraId="5546A4A3" w14:textId="77777777" w:rsidR="00705A6B" w:rsidRDefault="002B3839">
      <w:r>
        <w:br w:type="page"/>
      </w:r>
    </w:p>
    <w:p w14:paraId="1226F296" w14:textId="77777777" w:rsidR="00705A6B" w:rsidRDefault="002B3839">
      <w:pPr>
        <w:pStyle w:val="Titolo1"/>
      </w:pPr>
      <w:bookmarkStart w:id="32" w:name="appa"/>
      <w:r>
        <w:lastRenderedPageBreak/>
        <w:t>Appendice A - Matrice di controllo frontend</w:t>
      </w:r>
      <w:bookmarkEnd w:id="32"/>
    </w:p>
    <w:tbl>
      <w:tblPr>
        <w:tblStyle w:val="Grigliatabel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1656"/>
        <w:gridCol w:w="2376"/>
      </w:tblGrid>
      <w:tr w:rsidR="00705A6B" w14:paraId="616B837A" w14:textId="77777777">
        <w:trPr>
          <w:tblHeader/>
          <w:jc w:val="center"/>
        </w:trPr>
        <w:tc>
          <w:tcPr>
            <w:tcW w:w="2088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51125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Elemento</w:t>
            </w:r>
          </w:p>
        </w:tc>
        <w:tc>
          <w:tcPr>
            <w:tcW w:w="3384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FC289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Collocazione</w:t>
            </w:r>
          </w:p>
        </w:tc>
        <w:tc>
          <w:tcPr>
            <w:tcW w:w="1656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6D29E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Stato</w:t>
            </w:r>
          </w:p>
        </w:tc>
        <w:tc>
          <w:tcPr>
            <w:tcW w:w="2376" w:type="dxa"/>
            <w:shd w:val="clear" w:color="auto" w:fill="1F5A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AD0DC" w14:textId="77777777" w:rsidR="00705A6B" w:rsidRDefault="002B3839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Ruolo</w:t>
            </w:r>
          </w:p>
        </w:tc>
      </w:tr>
      <w:tr w:rsidR="00705A6B" w14:paraId="297D1DCD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FCD63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Home pubblica e login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748A6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index.html e style.css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AE18C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B7825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Presentazione, accesso, branding e tema</w:t>
            </w:r>
          </w:p>
        </w:tc>
      </w:tr>
      <w:tr w:rsidR="00705A6B" w14:paraId="3C60BE0F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D0CB3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Navigazione hash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D16F5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src/router.js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66603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42CA0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Rotte, cronologia e protezione delle viste</w:t>
            </w:r>
          </w:p>
        </w:tc>
      </w:tr>
      <w:tr w:rsidR="00705A6B" w14:paraId="551F6A08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8074F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Orchestrazione UI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D54F0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src/main.js e src/ui.js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062F7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16729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Sessione, viste, breadcrumb e stati</w:t>
            </w:r>
          </w:p>
        </w:tc>
      </w:tr>
      <w:tr w:rsidR="00705A6B" w14:paraId="7877F3AD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3A274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Autenticazione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C050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src/auth.js e moduli Supabase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A6D16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7A2A9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Login, logout, AAL/MFA e sessione</w:t>
            </w:r>
          </w:p>
        </w:tc>
      </w:tr>
      <w:tr w:rsidR="00705A6B" w14:paraId="639CD12C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C1C39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Inventario e anagrafiche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39199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index.html e moduli src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55AB8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63145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Gestione dati operativi e archiviazione</w:t>
            </w:r>
          </w:p>
        </w:tc>
      </w:tr>
      <w:tr w:rsidR="00705A6B" w14:paraId="055F5DA5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16C2A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Supply Chain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F3F4E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src/supplyChain.js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C6814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1B1D1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Percorsi multilivello ed esportazione</w:t>
            </w:r>
          </w:p>
        </w:tc>
      </w:tr>
      <w:tr w:rsidR="00705A6B" w14:paraId="6C0C1653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837B1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Incidenti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D5659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src/incidentService.js, wizard.js e wizard.css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64E08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C3723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Segnalazione guidata e riepilogo</w:t>
            </w:r>
          </w:p>
        </w:tc>
      </w:tr>
      <w:tr w:rsidR="00705A6B" w14:paraId="157E5336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15B79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Assessment FNCSDP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F0B65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assessmentManagement.js e assessmentService.js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504C0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3F22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Target, Attuale, score, gap e XLSX</w:t>
            </w:r>
          </w:p>
        </w:tc>
      </w:tr>
      <w:tr w:rsidR="00705A6B" w14:paraId="053FDD1C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AEE33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Audit Log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0DB1E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src/auditLog.js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2D768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E6B87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Filtri, dettaglio JSON, correlazioni ed export</w:t>
            </w:r>
          </w:p>
        </w:tc>
      </w:tr>
      <w:tr w:rsidR="00705A6B" w14:paraId="4B1DAB90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21E16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Import/export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9248F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src/importExport.js ed export.js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C5173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D77E6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Fogli XLSX e modelli operativi</w:t>
            </w:r>
          </w:p>
        </w:tc>
      </w:tr>
      <w:tr w:rsidR="00705A6B" w14:paraId="52A3D396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B9A90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Lingue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56BB2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src/i18n.js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135ED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E89A8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Interfaccia italiana e inglese</w:t>
            </w:r>
          </w:p>
        </w:tc>
      </w:tr>
      <w:tr w:rsidR="00705A6B" w14:paraId="7A7141AF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90E5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Logo e favicon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8DCB3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assets/branding/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7B3D7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B1FD6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Identità visiva della home, header e browser</w:t>
            </w:r>
          </w:p>
        </w:tc>
      </w:tr>
      <w:tr w:rsidR="00705A6B" w14:paraId="030A2509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1DAF8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Ringraziamenti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A5AC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rotta e vista dedicate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A23DF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EDAB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Sezione personale separata dai moduli</w:t>
            </w:r>
          </w:p>
        </w:tc>
      </w:tr>
      <w:tr w:rsidR="00705A6B" w14:paraId="5A69F8B3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B695E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Deployment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5FD3C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GitHub Pages - main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0DF96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Verificato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E2979" w14:textId="2F8E8095" w:rsidR="00705A6B" w:rsidRDefault="002B3839">
            <w:pPr>
              <w:spacing w:after="0" w:line="252" w:lineRule="auto"/>
              <w:jc w:val="left"/>
            </w:pPr>
            <w:proofErr w:type="spellStart"/>
            <w:r>
              <w:rPr>
                <w:sz w:val="20"/>
              </w:rPr>
              <w:t>Pubblicazione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della</w:t>
            </w:r>
            <w:proofErr w:type="spellEnd"/>
            <w:r>
              <w:rPr>
                <w:sz w:val="20"/>
              </w:rPr>
              <w:t xml:space="preserve"> build </w:t>
            </w:r>
            <w:r w:rsidR="00BC1B28">
              <w:rPr>
                <w:sz w:val="20"/>
              </w:rPr>
              <w:t>20260730-f11</w:t>
            </w:r>
          </w:p>
        </w:tc>
      </w:tr>
      <w:tr w:rsidR="00705A6B" w14:paraId="1D4DCFD9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6C611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Relazione frontend v1.0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94841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docs/Relazione_Tecnica_Frontend_Applicativo_v1.0.docx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5A36E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Completata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B872E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Allegato tecnico applicativo</w:t>
            </w:r>
          </w:p>
        </w:tc>
      </w:tr>
      <w:tr w:rsidR="00705A6B" w14:paraId="2AC70CC2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B6D08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Diagramma navigazione V5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2A466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docs/diagrammi/Diagramma_Navigazione_Frontend_v5.pdf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9A462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Completato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440CF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Mappa dei flussi e dei moduli</w:t>
            </w:r>
          </w:p>
        </w:tc>
      </w:tr>
      <w:tr w:rsidR="00705A6B" w14:paraId="53D34417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133D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README principale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F6068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README.md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23553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Da aggiornare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465D4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Sintesi e accesso alla documentazione</w:t>
            </w:r>
          </w:p>
        </w:tc>
      </w:tr>
      <w:tr w:rsidR="00705A6B" w14:paraId="21C4AE71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80A88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Indice documentale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8FDF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docs/README.md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4B30C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Da aggiornare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5888E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Mappa dei file in docs</w:t>
            </w:r>
          </w:p>
        </w:tc>
      </w:tr>
      <w:tr w:rsidR="00705A6B" w14:paraId="46472E11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4EC76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Documento principale PW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02250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Template ufficiale</w:t>
            </w:r>
          </w:p>
        </w:tc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140CA" w14:textId="77777777" w:rsidR="00705A6B" w:rsidRDefault="002B3839">
            <w:pPr>
              <w:spacing w:after="0" w:line="252" w:lineRule="auto"/>
              <w:jc w:val="center"/>
            </w:pPr>
            <w:r>
              <w:rPr>
                <w:sz w:val="20"/>
              </w:rPr>
              <w:t>Da riallineare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F442D" w14:textId="77777777" w:rsidR="00705A6B" w:rsidRDefault="002B3839">
            <w:pPr>
              <w:spacing w:after="0" w:line="252" w:lineRule="auto"/>
              <w:jc w:val="left"/>
            </w:pPr>
            <w:r>
              <w:rPr>
                <w:sz w:val="20"/>
              </w:rPr>
              <w:t>Presentazione complessiva del progetto</w:t>
            </w:r>
          </w:p>
        </w:tc>
      </w:tr>
    </w:tbl>
    <w:p w14:paraId="33BF1319" w14:textId="77777777" w:rsidR="00705A6B" w:rsidRDefault="00705A6B">
      <w:pPr>
        <w:spacing w:after="0"/>
      </w:pPr>
    </w:p>
    <w:sectPr w:rsidR="00705A6B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7D325" w14:textId="77777777" w:rsidR="00CC0E4A" w:rsidRDefault="00CC0E4A">
      <w:pPr>
        <w:spacing w:after="0" w:line="240" w:lineRule="auto"/>
      </w:pPr>
      <w:r>
        <w:separator/>
      </w:r>
    </w:p>
  </w:endnote>
  <w:endnote w:type="continuationSeparator" w:id="0">
    <w:p w14:paraId="42FF0979" w14:textId="77777777" w:rsidR="00CC0E4A" w:rsidRDefault="00CC0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D5293" w14:textId="77777777" w:rsidR="006A3BB2" w:rsidRDefault="004C56ED">
    <w:pPr>
      <w:pStyle w:val="Pidipagina"/>
      <w:jc w:val="center"/>
    </w:pPr>
    <w:r>
      <w:rPr>
        <w:sz w:val="20"/>
      </w:rPr>
      <w:t xml:space="preserve">Relazione Tecnica Frontend Applicativo - Pagina </w:t>
    </w:r>
    <w:r>
      <w:fldChar w:fldCharType="begin"/>
    </w:r>
    <w:r>
      <w:instrText xml:space="preserve"> PAGE </w:instrText>
    </w:r>
    <w:r>
      <w:fldChar w:fldCharType="separate"/>
    </w:r>
    <w:r w:rsidR="00BB20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665D3" w14:textId="77777777" w:rsidR="00CC0E4A" w:rsidRDefault="00CC0E4A">
      <w:pPr>
        <w:spacing w:after="0" w:line="240" w:lineRule="auto"/>
      </w:pPr>
      <w:r>
        <w:separator/>
      </w:r>
    </w:p>
  </w:footnote>
  <w:footnote w:type="continuationSeparator" w:id="0">
    <w:p w14:paraId="0386CF79" w14:textId="77777777" w:rsidR="00CC0E4A" w:rsidRDefault="00CC0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75F2D" w14:textId="77777777" w:rsidR="00FF2CAD" w:rsidRDefault="00FF2C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C4C"/>
    <w:rsid w:val="00101BB4"/>
    <w:rsid w:val="0015074B"/>
    <w:rsid w:val="00173BAC"/>
    <w:rsid w:val="00205C69"/>
    <w:rsid w:val="00215A16"/>
    <w:rsid w:val="0029639D"/>
    <w:rsid w:val="002B2E37"/>
    <w:rsid w:val="002B3839"/>
    <w:rsid w:val="00326F90"/>
    <w:rsid w:val="00373775"/>
    <w:rsid w:val="003C670F"/>
    <w:rsid w:val="004124E0"/>
    <w:rsid w:val="004753B5"/>
    <w:rsid w:val="004B4BAB"/>
    <w:rsid w:val="004C56ED"/>
    <w:rsid w:val="00543521"/>
    <w:rsid w:val="005D3B29"/>
    <w:rsid w:val="00621326"/>
    <w:rsid w:val="006227EB"/>
    <w:rsid w:val="006A3BB2"/>
    <w:rsid w:val="00705A6B"/>
    <w:rsid w:val="007437BD"/>
    <w:rsid w:val="007802B9"/>
    <w:rsid w:val="007E20DD"/>
    <w:rsid w:val="00857AF2"/>
    <w:rsid w:val="009165B5"/>
    <w:rsid w:val="00AA1D8D"/>
    <w:rsid w:val="00B47730"/>
    <w:rsid w:val="00BB20CC"/>
    <w:rsid w:val="00BC1B28"/>
    <w:rsid w:val="00C01A60"/>
    <w:rsid w:val="00CB0664"/>
    <w:rsid w:val="00CC0E4A"/>
    <w:rsid w:val="00D47870"/>
    <w:rsid w:val="00EC36B6"/>
    <w:rsid w:val="00FC693F"/>
    <w:rsid w:val="00FF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37C6ED"/>
  <w14:defaultImageDpi w14:val="300"/>
  <w15:docId w15:val="{7B28651B-B137-496F-BF93-7618482C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69" w:lineRule="auto"/>
      <w:jc w:val="both"/>
    </w:pPr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Cs/>
      <w:color w:val="1F5A73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Cs/>
      <w:color w:val="2E6B7A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Cs/>
      <w:color w:val="365E6A"/>
      <w:sz w:val="23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color w:val="17354A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dascaliatecnica">
    <w:name w:val="Didascalia tecnica"/>
    <w:pPr>
      <w:spacing w:before="60" w:after="160"/>
      <w:jc w:val="center"/>
    </w:pPr>
    <w:rPr>
      <w:rFonts w:ascii="Times New Roman" w:hAnsi="Times New Roman"/>
      <w:i/>
      <w:color w:val="53687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5121</Words>
  <Characters>29194</Characters>
  <Application>Microsoft Office Word</Application>
  <DocSecurity>0</DocSecurity>
  <Lines>243</Lines>
  <Paragraphs>68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Relazione Tecnica Frontend Applicativo</vt:lpstr>
      <vt:lpstr/>
    </vt:vector>
  </TitlesOfParts>
  <Manager/>
  <Company/>
  <LinksUpToDate>false</LinksUpToDate>
  <CharactersWithSpaces>34247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Tecnica Frontend Applicativo</dc:title>
  <dc:subject>NIS2 Asset Inventory Manager - Project Work L-31</dc:subject>
  <dc:creator>Gianluca Lucarelli</dc:creator>
  <cp:keywords>NIS2, frontend, Supabase, FNCSDP, Audit Log, GitHub Pages</cp:keywords>
  <dc:description>Versione 3.0 aggiornata alla pipeline 01-30 e al toolkit X1-X21.</dc:description>
  <cp:lastModifiedBy>Gianluca Lucarelli - Administrator</cp:lastModifiedBy>
  <cp:revision>8</cp:revision>
  <dcterms:created xsi:type="dcterms:W3CDTF">2026-08-03T08:27:00Z</dcterms:created>
  <dcterms:modified xsi:type="dcterms:W3CDTF">2026-08-03T12:29:00Z</dcterms:modified>
  <cp:category/>
</cp:coreProperties>
</file>