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1A6B" w:rsidRPr="00121A6B" w:rsidRDefault="00121A6B" w:rsidP="00121A6B">
      <w:pPr>
        <w:suppressAutoHyphens w:val="0"/>
        <w:ind w:firstLine="5529"/>
        <w:rPr>
          <w:rFonts w:ascii="Bookman Old Style" w:hAnsi="Bookman Old Style"/>
          <w:sz w:val="22"/>
          <w:szCs w:val="22"/>
          <w:lang w:eastAsia="it-IT"/>
        </w:rPr>
      </w:pPr>
      <w:proofErr w:type="spellStart"/>
      <w:r w:rsidRPr="00121A6B">
        <w:rPr>
          <w:rFonts w:ascii="Bookman Old Style" w:hAnsi="Bookman Old Style"/>
          <w:sz w:val="22"/>
          <w:szCs w:val="22"/>
          <w:lang w:eastAsia="it-IT"/>
        </w:rPr>
        <w:t>Gent.le</w:t>
      </w:r>
      <w:proofErr w:type="spellEnd"/>
      <w:r w:rsidRPr="00121A6B">
        <w:rPr>
          <w:rFonts w:ascii="Bookman Old Style" w:hAnsi="Bookman Old Style"/>
          <w:sz w:val="22"/>
          <w:szCs w:val="22"/>
          <w:lang w:eastAsia="it-IT"/>
        </w:rPr>
        <w:t xml:space="preserve"> Sig.r</w:t>
      </w:r>
      <w:r>
        <w:rPr>
          <w:rFonts w:ascii="Bookman Old Style" w:hAnsi="Bookman Old Style"/>
          <w:sz w:val="22"/>
          <w:szCs w:val="22"/>
          <w:lang w:eastAsia="it-IT"/>
        </w:rPr>
        <w:t>e</w:t>
      </w:r>
    </w:p>
    <w:p w:rsidR="00121A6B" w:rsidRPr="00121A6B" w:rsidRDefault="00121A6B" w:rsidP="00121A6B">
      <w:pPr>
        <w:suppressAutoHyphens w:val="0"/>
        <w:ind w:firstLine="5529"/>
        <w:rPr>
          <w:rFonts w:ascii="Bookman Old Style" w:hAnsi="Bookman Old Style"/>
          <w:b/>
          <w:sz w:val="22"/>
          <w:szCs w:val="22"/>
          <w:lang w:eastAsia="it-IT"/>
        </w:rPr>
      </w:pPr>
      <w:r w:rsidRPr="00121A6B">
        <w:rPr>
          <w:rFonts w:ascii="Bookman Old Style" w:hAnsi="Bookman Old Style"/>
          <w:b/>
          <w:sz w:val="22"/>
          <w:szCs w:val="22"/>
          <w:highlight w:val="yellow"/>
          <w:lang w:eastAsia="it-IT"/>
        </w:rPr>
        <w:t>BAGGIO ROBERTO</w:t>
      </w:r>
    </w:p>
    <w:p w:rsidR="00121A6B" w:rsidRPr="00121A6B" w:rsidRDefault="00121A6B" w:rsidP="00121A6B">
      <w:pPr>
        <w:suppressAutoHyphens w:val="0"/>
        <w:ind w:firstLine="5529"/>
        <w:rPr>
          <w:rFonts w:ascii="Bookman Old Style" w:hAnsi="Bookman Old Style"/>
          <w:sz w:val="22"/>
          <w:szCs w:val="22"/>
          <w:lang w:eastAsia="it-IT"/>
        </w:rPr>
      </w:pPr>
    </w:p>
    <w:p w:rsidR="00121A6B" w:rsidRPr="00121A6B" w:rsidRDefault="00121A6B" w:rsidP="00121A6B">
      <w:pPr>
        <w:suppressAutoHyphens w:val="0"/>
        <w:rPr>
          <w:rFonts w:ascii="Bookman Old Style" w:hAnsi="Bookman Old Style"/>
          <w:sz w:val="22"/>
          <w:szCs w:val="22"/>
          <w:lang w:eastAsia="it-IT"/>
        </w:rPr>
      </w:pP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t xml:space="preserve">Milano, </w:t>
      </w:r>
      <w:r w:rsidRPr="00121A6B">
        <w:rPr>
          <w:rFonts w:ascii="Bookman Old Style" w:hAnsi="Bookman Old Style"/>
          <w:sz w:val="22"/>
          <w:szCs w:val="22"/>
          <w:highlight w:val="yellow"/>
          <w:lang w:eastAsia="it-IT"/>
        </w:rPr>
        <w:t>14 Aprile 2026</w:t>
      </w:r>
    </w:p>
    <w:p w:rsidR="00121A6B" w:rsidRPr="00121A6B" w:rsidRDefault="00121A6B" w:rsidP="00121A6B">
      <w:pPr>
        <w:suppressAutoHyphens w:val="0"/>
        <w:jc w:val="both"/>
        <w:rPr>
          <w:rFonts w:ascii="Bookman Old Style" w:hAnsi="Bookman Old Style"/>
          <w:sz w:val="22"/>
          <w:szCs w:val="22"/>
          <w:lang w:eastAsia="it-IT"/>
        </w:rPr>
      </w:pPr>
    </w:p>
    <w:p w:rsidR="00121A6B" w:rsidRPr="00121A6B" w:rsidRDefault="00121A6B" w:rsidP="00121A6B">
      <w:pPr>
        <w:suppressAutoHyphens w:val="0"/>
        <w:jc w:val="both"/>
        <w:rPr>
          <w:rFonts w:ascii="Bookman Old Style" w:hAnsi="Bookman Old Style" w:cs="Arial"/>
          <w:sz w:val="22"/>
          <w:szCs w:val="22"/>
          <w:lang w:eastAsia="it-IT"/>
        </w:rPr>
      </w:pPr>
      <w:r w:rsidRPr="00121A6B">
        <w:rPr>
          <w:rFonts w:ascii="Bookman Old Style" w:hAnsi="Bookman Old Style"/>
          <w:sz w:val="22"/>
          <w:szCs w:val="22"/>
          <w:lang w:eastAsia="it-IT"/>
        </w:rPr>
        <w:t xml:space="preserve">Facciamo seguito ai colloqui intercorsi per confermarLe l’assunzione alle ns. dipendenze in qualità di impiegata, </w:t>
      </w:r>
      <w:r w:rsidRPr="00BD2C56">
        <w:rPr>
          <w:rFonts w:ascii="Bookman Old Style" w:hAnsi="Bookman Old Style"/>
          <w:sz w:val="22"/>
          <w:szCs w:val="22"/>
          <w:highlight w:val="yellow"/>
          <w:lang w:eastAsia="it-IT"/>
        </w:rPr>
        <w:t>full time</w:t>
      </w:r>
      <w:r w:rsidRPr="00121A6B">
        <w:rPr>
          <w:rFonts w:ascii="Bookman Old Style" w:hAnsi="Bookman Old Style"/>
          <w:sz w:val="22"/>
          <w:szCs w:val="22"/>
          <w:lang w:eastAsia="it-IT"/>
        </w:rPr>
        <w:t xml:space="preserve"> a </w:t>
      </w:r>
      <w:r w:rsidRPr="00BD2C56">
        <w:rPr>
          <w:rFonts w:ascii="Bookman Old Style" w:hAnsi="Bookman Old Style"/>
          <w:sz w:val="22"/>
          <w:szCs w:val="22"/>
          <w:lang w:eastAsia="it-IT"/>
        </w:rPr>
        <w:t xml:space="preserve">tempo </w:t>
      </w:r>
      <w:r w:rsidR="00312B3E">
        <w:rPr>
          <w:rFonts w:ascii="Bookman Old Style" w:hAnsi="Bookman Old Style"/>
          <w:sz w:val="22"/>
          <w:szCs w:val="22"/>
          <w:lang w:eastAsia="it-IT"/>
        </w:rPr>
        <w:t>in</w:t>
      </w:r>
      <w:r w:rsidRPr="00BD2C56">
        <w:rPr>
          <w:rFonts w:ascii="Bookman Old Style" w:hAnsi="Bookman Old Style"/>
          <w:sz w:val="22"/>
          <w:szCs w:val="22"/>
          <w:lang w:eastAsia="it-IT"/>
        </w:rPr>
        <w:t>determinato</w:t>
      </w:r>
      <w:r w:rsidRPr="00121A6B">
        <w:rPr>
          <w:rFonts w:ascii="Bookman Old Style" w:hAnsi="Bookman Old Style" w:cs="Arial"/>
          <w:sz w:val="22"/>
          <w:szCs w:val="22"/>
          <w:lang w:eastAsia="it-IT"/>
        </w:rPr>
        <w:t>.</w:t>
      </w:r>
    </w:p>
    <w:p w:rsidR="00121A6B" w:rsidRPr="00121A6B" w:rsidRDefault="00121A6B" w:rsidP="00121A6B">
      <w:pPr>
        <w:suppressAutoHyphens w:val="0"/>
        <w:jc w:val="both"/>
        <w:rPr>
          <w:rFonts w:ascii="Bookman Old Style" w:hAnsi="Bookman Old Style" w:cs="Arial"/>
          <w:sz w:val="22"/>
          <w:szCs w:val="22"/>
          <w:lang w:eastAsia="it-IT"/>
        </w:rPr>
      </w:pP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cs="Arial"/>
          <w:sz w:val="22"/>
          <w:szCs w:val="22"/>
          <w:lang w:eastAsia="it-IT"/>
        </w:rPr>
        <w:t>L’assunzione è alle seguenti condizioni:</w:t>
      </w:r>
    </w:p>
    <w:p w:rsidR="00121A6B" w:rsidRPr="00121A6B" w:rsidRDefault="00121A6B" w:rsidP="00121A6B">
      <w:pPr>
        <w:suppressAutoHyphens w:val="0"/>
        <w:jc w:val="both"/>
        <w:rPr>
          <w:rFonts w:ascii="Bookman Old Style" w:hAnsi="Bookman Old Style"/>
          <w:sz w:val="22"/>
          <w:szCs w:val="22"/>
          <w:lang w:eastAsia="it-IT"/>
        </w:rPr>
      </w:pP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Data di assunzione</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14 Aprile 2026</w:t>
      </w: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Orario di lavoro</w:t>
      </w:r>
      <w:r w:rsidRPr="00121A6B">
        <w:rPr>
          <w:rFonts w:ascii="Bookman Old Style" w:hAnsi="Bookman Old Style"/>
          <w:sz w:val="22"/>
          <w:szCs w:val="22"/>
          <w:lang w:eastAsia="it-IT"/>
        </w:rPr>
        <w:t xml:space="preserve">: </w:t>
      </w:r>
      <w:r w:rsidRPr="00BD2C56">
        <w:rPr>
          <w:rFonts w:ascii="Bookman Old Style" w:hAnsi="Bookman Old Style"/>
          <w:sz w:val="22"/>
          <w:szCs w:val="22"/>
          <w:highlight w:val="yellow"/>
          <w:lang w:eastAsia="it-IT"/>
        </w:rPr>
        <w:t>40 ore settimanali</w:t>
      </w:r>
      <w:r w:rsidRPr="00121A6B">
        <w:rPr>
          <w:rFonts w:ascii="Bookman Old Style" w:hAnsi="Bookman Old Style"/>
          <w:sz w:val="22"/>
          <w:szCs w:val="22"/>
          <w:lang w:eastAsia="it-IT"/>
        </w:rPr>
        <w:t xml:space="preserve"> </w:t>
      </w: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Livello</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4°</w:t>
      </w: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Mansione:</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junior project manager</w:t>
      </w: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Sede di lavoro</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Milano</w:t>
      </w: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Periodo di prova:</w:t>
      </w:r>
      <w:r w:rsidRPr="00121A6B">
        <w:rPr>
          <w:rFonts w:ascii="Bookman Old Style" w:hAnsi="Bookman Old Style"/>
          <w:sz w:val="22"/>
          <w:szCs w:val="22"/>
          <w:lang w:eastAsia="it-IT"/>
        </w:rPr>
        <w:t xml:space="preserve"> </w:t>
      </w:r>
      <w:r w:rsidRPr="00121A6B">
        <w:rPr>
          <w:rFonts w:ascii="Bookman Old Style" w:hAnsi="Bookman Old Style"/>
          <w:sz w:val="22"/>
          <w:szCs w:val="22"/>
          <w:highlight w:val="yellow"/>
          <w:lang w:eastAsia="it-IT"/>
        </w:rPr>
        <w:t>60 giorni di effettivo lavoro</w:t>
      </w: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Scadenza pagamento della retribuzione mensile:</w:t>
      </w:r>
      <w:r w:rsidRPr="00121A6B">
        <w:rPr>
          <w:rFonts w:ascii="Bookman Old Style" w:hAnsi="Bookman Old Style"/>
          <w:sz w:val="22"/>
          <w:szCs w:val="22"/>
          <w:lang w:eastAsia="it-IT"/>
        </w:rPr>
        <w:t xml:space="preserve"> entro il 10 del mese successivo</w:t>
      </w:r>
    </w:p>
    <w:p w:rsidR="00121A6B" w:rsidRPr="00121A6B" w:rsidRDefault="00121A6B" w:rsidP="00121A6B">
      <w:pPr>
        <w:suppressAutoHyphens w:val="0"/>
        <w:jc w:val="both"/>
        <w:rPr>
          <w:rFonts w:ascii="Bookman Old Style" w:hAnsi="Bookman Old Style"/>
          <w:b/>
          <w:sz w:val="22"/>
          <w:szCs w:val="22"/>
          <w:lang w:eastAsia="it-IT"/>
        </w:rPr>
      </w:pPr>
      <w:r w:rsidRPr="00121A6B">
        <w:rPr>
          <w:rFonts w:ascii="Bookman Old Style" w:hAnsi="Bookman Old Style"/>
          <w:b/>
          <w:sz w:val="22"/>
          <w:szCs w:val="22"/>
          <w:lang w:eastAsia="it-IT"/>
        </w:rPr>
        <w:t>Posizione INPS:</w:t>
      </w:r>
      <w:r w:rsidRPr="00121A6B">
        <w:rPr>
          <w:lang w:eastAsia="it-IT"/>
        </w:rPr>
        <w:t xml:space="preserve"> </w:t>
      </w:r>
      <w:r w:rsidRPr="00121A6B">
        <w:rPr>
          <w:rFonts w:ascii="Bookman Old Style" w:hAnsi="Bookman Old Style"/>
          <w:sz w:val="22"/>
          <w:szCs w:val="22"/>
          <w:lang w:eastAsia="it-IT"/>
        </w:rPr>
        <w:t>4981640589</w:t>
      </w:r>
    </w:p>
    <w:p w:rsid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 xml:space="preserve">Posizione INAIL: </w:t>
      </w:r>
      <w:r w:rsidRPr="00121A6B">
        <w:rPr>
          <w:rFonts w:ascii="Bookman Old Style" w:hAnsi="Bookman Old Style"/>
          <w:sz w:val="22"/>
          <w:szCs w:val="22"/>
          <w:lang w:eastAsia="it-IT"/>
        </w:rPr>
        <w:t>022237565/60</w:t>
      </w:r>
    </w:p>
    <w:p w:rsidR="00031579" w:rsidRPr="00121A6B" w:rsidRDefault="00031579" w:rsidP="00121A6B">
      <w:pPr>
        <w:suppressAutoHyphens w:val="0"/>
        <w:jc w:val="both"/>
        <w:rPr>
          <w:rFonts w:ascii="Bookman Old Style" w:hAnsi="Bookman Old Style"/>
          <w:sz w:val="22"/>
          <w:szCs w:val="22"/>
          <w:lang w:eastAsia="it-IT"/>
        </w:rPr>
      </w:pPr>
      <w:r w:rsidRPr="00031579">
        <w:rPr>
          <w:rFonts w:ascii="Bookman Old Style" w:hAnsi="Bookman Old Style"/>
          <w:b/>
          <w:bCs/>
          <w:sz w:val="22"/>
          <w:szCs w:val="22"/>
          <w:lang w:eastAsia="it-IT"/>
        </w:rPr>
        <w:t>CNEL:</w:t>
      </w:r>
      <w:r>
        <w:rPr>
          <w:rFonts w:ascii="Bookman Old Style" w:hAnsi="Bookman Old Style"/>
          <w:sz w:val="22"/>
          <w:szCs w:val="22"/>
          <w:lang w:eastAsia="it-IT"/>
        </w:rPr>
        <w:t xml:space="preserve"> H011</w:t>
      </w: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b/>
          <w:sz w:val="22"/>
          <w:szCs w:val="22"/>
          <w:lang w:eastAsia="it-IT"/>
        </w:rPr>
        <w:t xml:space="preserve">Retribuzione </w:t>
      </w:r>
      <w:r>
        <w:rPr>
          <w:rFonts w:ascii="Bookman Old Style" w:hAnsi="Bookman Old Style"/>
          <w:b/>
          <w:sz w:val="22"/>
          <w:szCs w:val="22"/>
          <w:lang w:eastAsia="it-IT"/>
        </w:rPr>
        <w:t>Annua Lorda</w:t>
      </w:r>
      <w:r w:rsidR="00031579">
        <w:rPr>
          <w:rFonts w:ascii="Bookman Old Style" w:hAnsi="Bookman Old Style"/>
          <w:b/>
          <w:sz w:val="22"/>
          <w:szCs w:val="22"/>
          <w:lang w:eastAsia="it-IT"/>
        </w:rPr>
        <w:t xml:space="preserve"> (14 mensilità)</w:t>
      </w:r>
      <w:r>
        <w:rPr>
          <w:rFonts w:ascii="Bookman Old Style" w:hAnsi="Bookman Old Style"/>
          <w:b/>
          <w:sz w:val="22"/>
          <w:szCs w:val="22"/>
          <w:lang w:eastAsia="it-IT"/>
        </w:rPr>
        <w:t xml:space="preserve">: </w:t>
      </w:r>
      <w:r w:rsidR="000B7797">
        <w:rPr>
          <w:rFonts w:ascii="Bookman Old Style" w:hAnsi="Bookman Old Style"/>
          <w:b/>
          <w:sz w:val="22"/>
          <w:szCs w:val="22"/>
          <w:highlight w:val="yellow"/>
          <w:lang w:eastAsia="it-IT"/>
        </w:rPr>
        <w:t>0</w:t>
      </w:r>
      <w:r w:rsidRPr="00121A6B">
        <w:rPr>
          <w:rFonts w:ascii="Bookman Old Style" w:hAnsi="Bookman Old Style"/>
          <w:b/>
          <w:sz w:val="22"/>
          <w:szCs w:val="22"/>
          <w:highlight w:val="yellow"/>
          <w:lang w:eastAsia="it-IT"/>
        </w:rPr>
        <w:t>0.000€</w:t>
      </w:r>
    </w:p>
    <w:p w:rsidR="00121A6B" w:rsidRPr="00121A6B" w:rsidRDefault="00121A6B" w:rsidP="00121A6B">
      <w:pPr>
        <w:suppressAutoHyphens w:val="0"/>
        <w:jc w:val="both"/>
        <w:rPr>
          <w:rFonts w:ascii="Bookman Old Style" w:hAnsi="Bookman Old Style"/>
          <w:sz w:val="22"/>
          <w:szCs w:val="22"/>
          <w:lang w:eastAsia="it-IT"/>
        </w:rPr>
      </w:pPr>
      <w:r w:rsidRPr="00BD2C56">
        <w:rPr>
          <w:rFonts w:ascii="Bookman Old Style" w:hAnsi="Bookman Old Style"/>
          <w:b/>
          <w:bCs/>
          <w:sz w:val="22"/>
          <w:szCs w:val="22"/>
          <w:highlight w:val="yellow"/>
          <w:lang w:eastAsia="it-IT"/>
        </w:rPr>
        <w:t>Diaria:</w:t>
      </w:r>
      <w:r w:rsidRPr="00121A6B">
        <w:rPr>
          <w:rFonts w:ascii="Bookman Old Style" w:hAnsi="Bookman Old Style"/>
          <w:b/>
          <w:bCs/>
          <w:sz w:val="22"/>
          <w:szCs w:val="22"/>
          <w:lang w:eastAsia="it-IT"/>
        </w:rPr>
        <w:t xml:space="preserve"> </w:t>
      </w:r>
      <w:r w:rsidR="000B7797">
        <w:rPr>
          <w:rFonts w:ascii="Bookman Old Style" w:hAnsi="Bookman Old Style"/>
          <w:bCs/>
          <w:sz w:val="22"/>
          <w:szCs w:val="22"/>
          <w:highlight w:val="yellow"/>
          <w:lang w:eastAsia="it-IT"/>
        </w:rPr>
        <w:t>0</w:t>
      </w:r>
      <w:r w:rsidRPr="00121A6B">
        <w:rPr>
          <w:rFonts w:ascii="Bookman Old Style" w:hAnsi="Bookman Old Style"/>
          <w:bCs/>
          <w:sz w:val="22"/>
          <w:szCs w:val="22"/>
          <w:highlight w:val="yellow"/>
          <w:lang w:eastAsia="it-IT"/>
        </w:rPr>
        <w:t>0,00€/giorno lavorato</w:t>
      </w:r>
    </w:p>
    <w:p w:rsidR="00121A6B" w:rsidRDefault="00121A6B" w:rsidP="00121A6B">
      <w:pPr>
        <w:suppressAutoHyphens w:val="0"/>
        <w:ind w:left="697" w:firstLine="721"/>
        <w:jc w:val="both"/>
        <w:rPr>
          <w:rFonts w:ascii="Bookman Old Style" w:hAnsi="Bookman Old Style"/>
          <w:b/>
          <w:sz w:val="22"/>
          <w:szCs w:val="22"/>
          <w:lang w:eastAsia="it-IT"/>
        </w:rPr>
      </w:pPr>
    </w:p>
    <w:p w:rsidR="00031579" w:rsidRPr="00121A6B" w:rsidRDefault="00031579" w:rsidP="00121A6B">
      <w:pPr>
        <w:suppressAutoHyphens w:val="0"/>
        <w:ind w:left="697" w:firstLine="721"/>
        <w:jc w:val="both"/>
        <w:rPr>
          <w:rFonts w:ascii="Bookman Old Style" w:hAnsi="Bookman Old Style"/>
          <w:b/>
          <w:sz w:val="22"/>
          <w:szCs w:val="22"/>
          <w:lang w:eastAsia="it-IT"/>
        </w:rPr>
      </w:pPr>
    </w:p>
    <w:p w:rsidR="00121A6B" w:rsidRPr="00121A6B" w:rsidRDefault="00121A6B" w:rsidP="00121A6B">
      <w:pPr>
        <w:widowControl w:val="0"/>
        <w:suppressAutoHyphens w:val="0"/>
        <w:ind w:right="-1"/>
        <w:jc w:val="both"/>
        <w:rPr>
          <w:rFonts w:ascii="Bookman Old Style" w:hAnsi="Bookman Old Style"/>
          <w:sz w:val="22"/>
          <w:szCs w:val="22"/>
          <w:lang w:eastAsia="it-IT"/>
        </w:rPr>
      </w:pPr>
      <w:r w:rsidRPr="00121A6B">
        <w:rPr>
          <w:rFonts w:ascii="Bookman Old Style" w:hAnsi="Bookman Old Style"/>
          <w:sz w:val="22"/>
          <w:szCs w:val="22"/>
          <w:lang w:eastAsia="it-IT"/>
        </w:rPr>
        <w:t>Il rapporto di lavoro sarà instaurato nel rispetto del C.C.N.L. settore Terziario – Confcommercio e dalle vigenti leggi che regolano la materia.</w:t>
      </w:r>
    </w:p>
    <w:p w:rsidR="00121A6B" w:rsidRPr="00121A6B" w:rsidRDefault="00121A6B" w:rsidP="00121A6B">
      <w:pPr>
        <w:widowControl w:val="0"/>
        <w:suppressAutoHyphens w:val="0"/>
        <w:ind w:right="-1"/>
        <w:jc w:val="both"/>
        <w:rPr>
          <w:rFonts w:ascii="Bookman Old Style" w:hAnsi="Bookman Old Style"/>
          <w:sz w:val="22"/>
          <w:szCs w:val="22"/>
          <w:lang w:eastAsia="it-IT"/>
        </w:rPr>
      </w:pPr>
    </w:p>
    <w:p w:rsidR="00121A6B" w:rsidRPr="00121A6B" w:rsidRDefault="00121A6B" w:rsidP="00121A6B">
      <w:pPr>
        <w:tabs>
          <w:tab w:val="left" w:pos="1440"/>
          <w:tab w:val="left" w:pos="3780"/>
        </w:tabs>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t xml:space="preserve">Durante il </w:t>
      </w:r>
      <w:r w:rsidRPr="00121A6B">
        <w:rPr>
          <w:rFonts w:ascii="Bookman Old Style" w:hAnsi="Bookman Old Style"/>
          <w:b/>
          <w:sz w:val="22"/>
          <w:szCs w:val="22"/>
          <w:lang w:eastAsia="it-IT"/>
        </w:rPr>
        <w:t>periodo di prova</w:t>
      </w:r>
      <w:r w:rsidRPr="00121A6B">
        <w:rPr>
          <w:rFonts w:ascii="Bookman Old Style" w:hAnsi="Bookman Old Style"/>
          <w:sz w:val="22"/>
          <w:szCs w:val="22"/>
          <w:lang w:eastAsia="it-IT"/>
        </w:rPr>
        <w:t xml:space="preserve"> - sopra indicato - sarà consentito ad entrambe le parti di risolvere il rapporto senza essere tenuti al rispetto di alcun termine di preavviso o a corrispondere alcuna indennità sostitutiva. Ai fini della verifica dell’esito della prova si indicano nel dettaglio le mansioni ed incarichi affidati al lavoratore (fatta salva in ogni caso la possibilità di mutamento delle mansioni nel rispetto di quanto previsto dall’art. 2103 c.c.):</w:t>
      </w:r>
    </w:p>
    <w:p w:rsidR="00121A6B" w:rsidRPr="00121A6B" w:rsidRDefault="00121A6B" w:rsidP="00121A6B">
      <w:pPr>
        <w:tabs>
          <w:tab w:val="left" w:pos="1440"/>
          <w:tab w:val="left" w:pos="3780"/>
        </w:tabs>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br w:type="page"/>
      </w:r>
    </w:p>
    <w:p w:rsidR="00121A6B" w:rsidRPr="00121A6B" w:rsidRDefault="00121A6B" w:rsidP="00121A6B">
      <w:pPr>
        <w:tabs>
          <w:tab w:val="left" w:pos="1440"/>
          <w:tab w:val="left" w:pos="3780"/>
        </w:tabs>
        <w:suppressAutoHyphens w:val="0"/>
        <w:jc w:val="center"/>
        <w:rPr>
          <w:rFonts w:ascii="Bookman Old Style" w:hAnsi="Bookman Old Style"/>
          <w:b/>
          <w:bCs/>
          <w:sz w:val="22"/>
          <w:szCs w:val="22"/>
          <w:lang w:eastAsia="it-IT"/>
        </w:rPr>
      </w:pPr>
      <w:r w:rsidRPr="00121A6B">
        <w:rPr>
          <w:rFonts w:ascii="Bookman Old Style" w:hAnsi="Bookman Old Style"/>
          <w:b/>
          <w:bCs/>
          <w:sz w:val="22"/>
          <w:szCs w:val="22"/>
          <w:highlight w:val="yellow"/>
          <w:lang w:eastAsia="it-IT"/>
        </w:rPr>
        <w:t>Junior Project Manager</w:t>
      </w:r>
    </w:p>
    <w:p w:rsidR="00121A6B" w:rsidRPr="00121A6B" w:rsidRDefault="00121A6B" w:rsidP="00121A6B">
      <w:pPr>
        <w:tabs>
          <w:tab w:val="left" w:pos="1440"/>
          <w:tab w:val="left" w:pos="3780"/>
        </w:tabs>
        <w:suppressAutoHyphens w:val="0"/>
        <w:jc w:val="both"/>
        <w:rPr>
          <w:rFonts w:ascii="Bookman Old Style" w:hAnsi="Bookman Old Style"/>
          <w:sz w:val="22"/>
          <w:szCs w:val="22"/>
          <w:lang w:eastAsia="x-none"/>
        </w:rPr>
      </w:pPr>
      <w:r w:rsidRPr="00121A6B">
        <w:rPr>
          <w:rFonts w:ascii="Bookman Old Style" w:hAnsi="Bookman Old Style"/>
          <w:sz w:val="22"/>
          <w:szCs w:val="22"/>
          <w:highlight w:val="yellow"/>
          <w:lang w:val="x-none" w:eastAsia="x-none"/>
        </w:rPr>
        <w:t>La funzione ha come compit</w:t>
      </w:r>
      <w:r w:rsidRPr="00121A6B">
        <w:rPr>
          <w:rFonts w:ascii="Bookman Old Style" w:hAnsi="Bookman Old Style"/>
          <w:sz w:val="22"/>
          <w:szCs w:val="22"/>
          <w:highlight w:val="yellow"/>
          <w:lang w:eastAsia="x-none"/>
        </w:rPr>
        <w:t>i</w:t>
      </w:r>
      <w:r w:rsidRPr="00121A6B">
        <w:rPr>
          <w:rFonts w:ascii="Bookman Old Style" w:hAnsi="Bookman Old Style"/>
          <w:sz w:val="22"/>
          <w:szCs w:val="22"/>
          <w:highlight w:val="yellow"/>
          <w:lang w:val="x-none" w:eastAsia="x-none"/>
        </w:rPr>
        <w:t xml:space="preserve"> principal</w:t>
      </w:r>
      <w:r w:rsidRPr="00121A6B">
        <w:rPr>
          <w:rFonts w:ascii="Bookman Old Style" w:hAnsi="Bookman Old Style"/>
          <w:sz w:val="22"/>
          <w:szCs w:val="22"/>
          <w:highlight w:val="yellow"/>
          <w:lang w:eastAsia="x-none"/>
        </w:rPr>
        <w:t>i</w:t>
      </w:r>
      <w:r w:rsidRPr="00121A6B">
        <w:rPr>
          <w:rFonts w:ascii="Bookman Old Style" w:hAnsi="Bookman Old Style"/>
          <w:sz w:val="22"/>
          <w:szCs w:val="22"/>
          <w:highlight w:val="yellow"/>
          <w:lang w:val="x-none" w:eastAsia="x-none"/>
        </w:rPr>
        <w:t xml:space="preserve"> quell</w:t>
      </w:r>
      <w:r w:rsidRPr="00121A6B">
        <w:rPr>
          <w:rFonts w:ascii="Bookman Old Style" w:hAnsi="Bookman Old Style"/>
          <w:sz w:val="22"/>
          <w:szCs w:val="22"/>
          <w:highlight w:val="yellow"/>
          <w:lang w:eastAsia="x-none"/>
        </w:rPr>
        <w:t>i</w:t>
      </w:r>
      <w:r w:rsidRPr="00121A6B">
        <w:rPr>
          <w:rFonts w:ascii="Bookman Old Style" w:hAnsi="Bookman Old Style"/>
          <w:sz w:val="22"/>
          <w:szCs w:val="22"/>
          <w:highlight w:val="yellow"/>
          <w:lang w:val="x-none" w:eastAsia="x-none"/>
        </w:rPr>
        <w:t xml:space="preserve"> di: 1) gestire in modo ottimale i progetti affidati, prestando una particolare attenzione al rispetto delle tempistiche pattuite, dei costi e della qualità finale del lavoro fatto; 2 ) Sviluppare e sostenere nel tempo rapporti con i clienti e i fornitori coinvolti nel progetto, sia al fine di creare nuove opportunità di business che al fine di proiettare una positiva immagine aziendale. Mantenere le relazioni anche all’interno dell’organizzazione, tirando le fila e facendo da mediatore tra le parti; 3) Gestire eventuali problematiche che dovessero insorgere durante lo sviluppo dei progetti; 4) Condurre riunioni periodiche per verificare l’allineamento dello stato del progetto con le previsioni fatte in merito al suo avanzamento</w:t>
      </w:r>
      <w:r w:rsidRPr="00121A6B">
        <w:rPr>
          <w:rFonts w:ascii="Bookman Old Style" w:hAnsi="Bookman Old Style"/>
          <w:sz w:val="22"/>
          <w:szCs w:val="22"/>
          <w:highlight w:val="yellow"/>
          <w:lang w:eastAsia="x-none"/>
        </w:rPr>
        <w:t>.</w:t>
      </w:r>
    </w:p>
    <w:p w:rsidR="00121A6B" w:rsidRPr="00121A6B" w:rsidRDefault="00121A6B" w:rsidP="00121A6B">
      <w:pPr>
        <w:tabs>
          <w:tab w:val="left" w:pos="1440"/>
          <w:tab w:val="left" w:pos="3780"/>
        </w:tabs>
        <w:suppressAutoHyphens w:val="0"/>
        <w:jc w:val="both"/>
        <w:rPr>
          <w:rFonts w:ascii="Bookman Old Style" w:hAnsi="Bookman Old Style"/>
          <w:sz w:val="22"/>
          <w:szCs w:val="22"/>
          <w:lang w:eastAsia="it-IT"/>
        </w:rPr>
      </w:pPr>
    </w:p>
    <w:p w:rsidR="00121A6B" w:rsidRPr="00121A6B" w:rsidRDefault="00121A6B" w:rsidP="00121A6B">
      <w:pPr>
        <w:tabs>
          <w:tab w:val="left" w:pos="1440"/>
          <w:tab w:val="left" w:pos="3780"/>
        </w:tabs>
        <w:suppressAutoHyphens w:val="0"/>
        <w:ind w:firstLine="1080"/>
        <w:jc w:val="center"/>
        <w:rPr>
          <w:rFonts w:ascii="Bookman Old Style" w:hAnsi="Bookman Old Style"/>
          <w:sz w:val="22"/>
          <w:szCs w:val="22"/>
          <w:lang w:eastAsia="it-IT"/>
        </w:rPr>
      </w:pPr>
    </w:p>
    <w:p w:rsidR="00121A6B" w:rsidRPr="00121A6B" w:rsidRDefault="00121A6B" w:rsidP="00121A6B">
      <w:pPr>
        <w:suppressAutoHyphens w:val="0"/>
        <w:spacing w:line="276" w:lineRule="auto"/>
        <w:jc w:val="both"/>
        <w:rPr>
          <w:rFonts w:ascii="Bookman Old Style" w:hAnsi="Bookman Old Style"/>
          <w:sz w:val="22"/>
          <w:szCs w:val="22"/>
          <w:lang w:val="x-none" w:eastAsia="x-none"/>
        </w:rPr>
      </w:pPr>
      <w:r w:rsidRPr="00121A6B">
        <w:rPr>
          <w:rFonts w:ascii="Bookman Old Style" w:hAnsi="Bookman Old Style"/>
          <w:sz w:val="22"/>
          <w:szCs w:val="22"/>
          <w:lang w:val="x-none" w:eastAsia="x-none"/>
        </w:rPr>
        <w:t xml:space="preserve">In riferimento a quanto indicato alla voce </w:t>
      </w:r>
      <w:r w:rsidRPr="00BD2C56">
        <w:rPr>
          <w:rFonts w:ascii="Bookman Old Style" w:hAnsi="Bookman Old Style"/>
          <w:sz w:val="22"/>
          <w:szCs w:val="22"/>
          <w:lang w:val="x-none" w:eastAsia="x-none"/>
        </w:rPr>
        <w:t>Superminimo Assorbibile,</w:t>
      </w:r>
      <w:r w:rsidRPr="00121A6B">
        <w:rPr>
          <w:rFonts w:ascii="Bookman Old Style" w:hAnsi="Bookman Old Style"/>
          <w:sz w:val="22"/>
          <w:szCs w:val="22"/>
          <w:lang w:val="x-none" w:eastAsia="x-none"/>
        </w:rPr>
        <w:t xml:space="preserve"> si conferma che la maggiore retribuzione riconosciuta in eccedenza rispetto alla retribuzione minima contrattuale, è stata determinata congiuntamente dalle parti nella sua entità in considerazione delle peculiari caratteristiche del rapporto di lavoro e quale condizione di miglior favore. Essa ha carattere complessivo e viene corrisposta anche a titolo di anticipazione di ogni eventuale miglioramento contrattuale che possa derivare da qualunque fonte. Tale importo sostituisce ogni diverso trattamento ed esclude ogni voce o istituto di carattere retributivo o reintegrativo previsti da qualsiasi fonte di regolamento del rapporto di lavoro ed assorbe, fino a concorrenza, ogni aumento retributivo comunque disposto in prosieguo, anche se attivato mediante particolari istituti, da parte della contrattazione collettiva, anche aziendale e dalla Legge.</w:t>
      </w:r>
    </w:p>
    <w:p w:rsidR="00121A6B" w:rsidRPr="00121A6B" w:rsidRDefault="00121A6B" w:rsidP="00121A6B">
      <w:pPr>
        <w:suppressAutoHyphens w:val="0"/>
        <w:rPr>
          <w:rFonts w:ascii="Bookman Old Style" w:hAnsi="Bookman Old Style"/>
          <w:sz w:val="22"/>
          <w:szCs w:val="22"/>
          <w:lang w:val="x-none" w:eastAsia="it-IT"/>
        </w:rPr>
      </w:pPr>
    </w:p>
    <w:p w:rsidR="00121A6B" w:rsidRPr="00121A6B" w:rsidRDefault="00121A6B" w:rsidP="00121A6B">
      <w:pPr>
        <w:suppressAutoHyphens w:val="0"/>
        <w:jc w:val="center"/>
        <w:rPr>
          <w:rFonts w:ascii="Bookman Old Style" w:hAnsi="Bookman Old Style"/>
          <w:sz w:val="22"/>
          <w:szCs w:val="22"/>
          <w:lang w:eastAsia="it-IT"/>
        </w:rPr>
      </w:pP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t>Ad ogni effetto di legge, La informiamo che iscriveremo il Suo nominativo nel libro unico del lavoro e che provvederemo all’invio della COB (allegata) al competente Centro Impiego.</w:t>
      </w:r>
    </w:p>
    <w:p w:rsidR="00121A6B" w:rsidRPr="00121A6B" w:rsidRDefault="00121A6B" w:rsidP="00121A6B">
      <w:pPr>
        <w:suppressAutoHyphens w:val="0"/>
        <w:jc w:val="both"/>
        <w:rPr>
          <w:rFonts w:ascii="Bookman Old Style" w:hAnsi="Bookman Old Style"/>
          <w:sz w:val="22"/>
          <w:szCs w:val="22"/>
          <w:lang w:eastAsia="it-IT"/>
        </w:rPr>
      </w:pPr>
    </w:p>
    <w:p w:rsidR="00121A6B" w:rsidRPr="00121A6B" w:rsidRDefault="00121A6B" w:rsidP="00121A6B">
      <w:pPr>
        <w:suppressAutoHyphens w:val="0"/>
        <w:jc w:val="both"/>
        <w:rPr>
          <w:rFonts w:ascii="Bookman Old Style" w:hAnsi="Bookman Old Style"/>
          <w:sz w:val="22"/>
          <w:szCs w:val="22"/>
          <w:lang w:eastAsia="it-IT"/>
        </w:rPr>
      </w:pPr>
      <w:r w:rsidRPr="00121A6B">
        <w:rPr>
          <w:rFonts w:ascii="Bookman Old Style" w:hAnsi="Bookman Old Style"/>
          <w:sz w:val="22"/>
          <w:szCs w:val="22"/>
          <w:lang w:eastAsia="it-IT"/>
        </w:rPr>
        <w:t>La informiamo anche che il presente contratto Le attribuirebbe il diritto di precedenza nelle nuove assunzioni a tempo indeterminato qualora si verificassero le condizioni previste dall’art. 24, comma 1, D. Lgs. n. 81/2015.</w:t>
      </w:r>
    </w:p>
    <w:p w:rsidR="00121A6B" w:rsidRPr="00121A6B" w:rsidRDefault="00121A6B" w:rsidP="00121A6B">
      <w:pPr>
        <w:suppressAutoHyphens w:val="0"/>
        <w:jc w:val="both"/>
        <w:rPr>
          <w:rFonts w:ascii="Bookman Old Style" w:hAnsi="Bookman Old Style"/>
          <w:sz w:val="22"/>
          <w:szCs w:val="22"/>
          <w:lang w:eastAsia="it-IT"/>
        </w:rPr>
      </w:pPr>
    </w:p>
    <w:p w:rsidR="00121A6B" w:rsidRPr="00121A6B" w:rsidRDefault="00121A6B" w:rsidP="00121A6B">
      <w:pPr>
        <w:widowControl w:val="0"/>
        <w:suppressAutoHyphens w:val="0"/>
        <w:ind w:right="-1"/>
        <w:jc w:val="both"/>
        <w:rPr>
          <w:rFonts w:ascii="Bookman Old Style" w:hAnsi="Bookman Old Style"/>
          <w:sz w:val="22"/>
          <w:szCs w:val="22"/>
          <w:lang w:eastAsia="it-IT"/>
        </w:rPr>
      </w:pPr>
      <w:proofErr w:type="spellStart"/>
      <w:r w:rsidRPr="00121A6B">
        <w:rPr>
          <w:rFonts w:ascii="Bookman Old Style" w:hAnsi="Bookman Old Style"/>
          <w:sz w:val="22"/>
          <w:szCs w:val="22"/>
          <w:lang w:eastAsia="it-IT"/>
        </w:rPr>
        <w:t>Nell’augurarLe</w:t>
      </w:r>
      <w:proofErr w:type="spellEnd"/>
      <w:r w:rsidRPr="00121A6B">
        <w:rPr>
          <w:rFonts w:ascii="Bookman Old Style" w:hAnsi="Bookman Old Style"/>
          <w:sz w:val="22"/>
          <w:szCs w:val="22"/>
          <w:lang w:eastAsia="it-IT"/>
        </w:rPr>
        <w:t xml:space="preserve"> una proficua e reciproca collaborazione, La preghiamo di renderci copia della presente firmata in segno di benestare ed accettazione.</w:t>
      </w:r>
    </w:p>
    <w:p w:rsidR="00121A6B" w:rsidRPr="00121A6B" w:rsidRDefault="00121A6B" w:rsidP="00121A6B">
      <w:pPr>
        <w:suppressAutoHyphens w:val="0"/>
        <w:spacing w:line="360" w:lineRule="auto"/>
        <w:ind w:left="360"/>
        <w:jc w:val="both"/>
        <w:rPr>
          <w:rFonts w:ascii="Bookman Old Style" w:hAnsi="Bookman Old Style"/>
          <w:sz w:val="22"/>
          <w:szCs w:val="22"/>
          <w:lang w:eastAsia="it-IT"/>
        </w:rPr>
      </w:pPr>
    </w:p>
    <w:p w:rsidR="00121A6B" w:rsidRPr="00121A6B" w:rsidRDefault="00121A6B" w:rsidP="00121A6B">
      <w:pPr>
        <w:widowControl w:val="0"/>
        <w:suppressAutoHyphens w:val="0"/>
        <w:ind w:right="-1"/>
        <w:jc w:val="both"/>
        <w:rPr>
          <w:rFonts w:ascii="Bookman Old Style" w:hAnsi="Bookman Old Style"/>
          <w:sz w:val="22"/>
          <w:szCs w:val="22"/>
          <w:lang w:eastAsia="it-IT"/>
        </w:rPr>
      </w:pP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r w:rsidRPr="00121A6B">
        <w:rPr>
          <w:rFonts w:ascii="Bookman Old Style" w:hAnsi="Bookman Old Style"/>
          <w:sz w:val="22"/>
          <w:szCs w:val="22"/>
          <w:lang w:eastAsia="it-IT"/>
        </w:rPr>
        <w:tab/>
      </w:r>
    </w:p>
    <w:p w:rsidR="00121A6B" w:rsidRPr="00121A6B" w:rsidRDefault="00121A6B" w:rsidP="00121A6B">
      <w:pPr>
        <w:widowControl w:val="0"/>
        <w:suppressAutoHyphens w:val="0"/>
        <w:ind w:left="5664" w:right="-1" w:firstLine="708"/>
        <w:jc w:val="both"/>
        <w:rPr>
          <w:rFonts w:ascii="Bookman Old Style" w:hAnsi="Bookman Old Style"/>
          <w:sz w:val="22"/>
          <w:szCs w:val="22"/>
          <w:lang w:val="fr-FR" w:eastAsia="it-IT"/>
        </w:rPr>
      </w:pPr>
      <w:r w:rsidRPr="00121A6B">
        <w:rPr>
          <w:rFonts w:ascii="Bookman Old Style" w:hAnsi="Bookman Old Style"/>
          <w:noProof/>
          <w:sz w:val="22"/>
          <w:szCs w:val="22"/>
          <w:lang w:eastAsia="it-IT"/>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05.05pt;margin-top:12.3pt;width:186pt;height:89.25pt;z-index:251656704">
            <v:imagedata r:id="rId7" o:title="Firma HQ Engineering Barbera"/>
          </v:shape>
        </w:pict>
      </w:r>
      <w:r w:rsidRPr="00121A6B">
        <w:rPr>
          <w:rFonts w:ascii="Bookman Old Style" w:hAnsi="Bookman Old Style"/>
          <w:sz w:val="22"/>
          <w:szCs w:val="22"/>
          <w:lang w:val="fr-FR" w:eastAsia="it-IT"/>
        </w:rPr>
        <w:t>HQ ENGINEERING S.R.L.</w:t>
      </w:r>
    </w:p>
    <w:p w:rsidR="00121A6B" w:rsidRPr="00121A6B" w:rsidRDefault="00121A6B" w:rsidP="00121A6B">
      <w:pPr>
        <w:widowControl w:val="0"/>
        <w:suppressAutoHyphens w:val="0"/>
        <w:ind w:left="5664" w:right="-1" w:firstLine="708"/>
        <w:jc w:val="both"/>
        <w:rPr>
          <w:rFonts w:ascii="Bookman Old Style" w:hAnsi="Bookman Old Style"/>
          <w:sz w:val="22"/>
          <w:szCs w:val="22"/>
          <w:lang w:val="fr-FR" w:eastAsia="it-IT"/>
        </w:rPr>
      </w:pPr>
    </w:p>
    <w:p w:rsidR="00121A6B" w:rsidRPr="00121A6B" w:rsidRDefault="00121A6B" w:rsidP="00121A6B">
      <w:pPr>
        <w:widowControl w:val="0"/>
        <w:suppressAutoHyphens w:val="0"/>
        <w:ind w:left="5664" w:right="-1" w:firstLine="708"/>
        <w:jc w:val="both"/>
        <w:rPr>
          <w:rFonts w:ascii="Bookman Old Style" w:hAnsi="Bookman Old Style"/>
          <w:sz w:val="22"/>
          <w:szCs w:val="22"/>
          <w:lang w:val="fr-FR" w:eastAsia="it-IT"/>
        </w:rPr>
      </w:pPr>
    </w:p>
    <w:p w:rsidR="00121A6B" w:rsidRPr="00121A6B" w:rsidRDefault="00121A6B" w:rsidP="00121A6B">
      <w:pPr>
        <w:widowControl w:val="0"/>
        <w:suppressAutoHyphens w:val="0"/>
        <w:ind w:right="-1"/>
        <w:jc w:val="both"/>
        <w:rPr>
          <w:rFonts w:ascii="Bookman Old Style" w:hAnsi="Bookman Old Style"/>
          <w:sz w:val="22"/>
          <w:szCs w:val="22"/>
          <w:lang w:eastAsia="it-IT"/>
        </w:rPr>
      </w:pPr>
      <w:r w:rsidRPr="00121A6B">
        <w:rPr>
          <w:rFonts w:ascii="Bookman Old Style" w:hAnsi="Bookman Old Style"/>
          <w:sz w:val="22"/>
          <w:szCs w:val="22"/>
          <w:lang w:eastAsia="it-IT"/>
        </w:rPr>
        <w:t xml:space="preserve">Per accettazione: </w:t>
      </w:r>
    </w:p>
    <w:p w:rsidR="00121A6B" w:rsidRPr="00121A6B" w:rsidRDefault="00121A6B" w:rsidP="00121A6B">
      <w:pPr>
        <w:suppressAutoHyphens w:val="0"/>
        <w:rPr>
          <w:rFonts w:ascii="Bookman Old Style" w:hAnsi="Bookman Old Style"/>
          <w:sz w:val="22"/>
          <w:szCs w:val="22"/>
          <w:lang w:eastAsia="it-IT"/>
        </w:rPr>
      </w:pPr>
      <w:r w:rsidRPr="00BD2C56">
        <w:rPr>
          <w:rFonts w:ascii="Bookman Old Style" w:hAnsi="Bookman Old Style"/>
          <w:sz w:val="22"/>
          <w:szCs w:val="22"/>
          <w:highlight w:val="yellow"/>
          <w:lang w:eastAsia="it-IT"/>
        </w:rPr>
        <w:t>BAGGIO ROBERTO</w:t>
      </w:r>
    </w:p>
    <w:p w:rsidR="00121A6B" w:rsidRPr="00121A6B" w:rsidRDefault="00121A6B" w:rsidP="00121A6B">
      <w:pPr>
        <w:widowControl w:val="0"/>
        <w:suppressAutoHyphens w:val="0"/>
        <w:ind w:right="-1"/>
        <w:jc w:val="both"/>
        <w:rPr>
          <w:rFonts w:ascii="Bookman Old Style" w:hAnsi="Bookman Old Style"/>
          <w:sz w:val="22"/>
          <w:szCs w:val="22"/>
          <w:lang w:eastAsia="it-IT"/>
        </w:rPr>
      </w:pPr>
    </w:p>
    <w:p w:rsidR="00121A6B" w:rsidRPr="00121A6B" w:rsidRDefault="00121A6B" w:rsidP="00121A6B">
      <w:pPr>
        <w:widowControl w:val="0"/>
        <w:suppressAutoHyphens w:val="0"/>
        <w:ind w:right="-1" w:firstLine="720"/>
        <w:jc w:val="both"/>
        <w:rPr>
          <w:rFonts w:ascii="Bookman Old Style" w:hAnsi="Bookman Old Style"/>
          <w:sz w:val="22"/>
          <w:szCs w:val="22"/>
          <w:lang w:eastAsia="it-IT"/>
        </w:rPr>
      </w:pPr>
    </w:p>
    <w:p w:rsidR="00121A6B" w:rsidRPr="00121A6B" w:rsidRDefault="00121A6B" w:rsidP="00121A6B">
      <w:pPr>
        <w:widowControl w:val="0"/>
        <w:suppressAutoHyphens w:val="0"/>
        <w:ind w:right="-1" w:firstLine="720"/>
        <w:jc w:val="both"/>
        <w:rPr>
          <w:rFonts w:ascii="Bookman Old Style" w:hAnsi="Bookman Old Style"/>
          <w:sz w:val="22"/>
          <w:szCs w:val="22"/>
          <w:lang w:eastAsia="it-IT"/>
        </w:rPr>
      </w:pPr>
      <w:r w:rsidRPr="00121A6B">
        <w:rPr>
          <w:rFonts w:ascii="Bookman Old Style" w:hAnsi="Bookman Old Style"/>
          <w:sz w:val="22"/>
          <w:szCs w:val="22"/>
          <w:lang w:eastAsia="it-IT"/>
        </w:rPr>
        <w:br w:type="page"/>
        <w:t>Ai sensi degli art. 10 e 22 della Legge 675/96 consento al trattamento dei miei dati personali e “sensibili” nella misura necessaria al corretto e legittimo svolgimento del rapporto di lavoro.</w:t>
      </w:r>
    </w:p>
    <w:p w:rsidR="00121A6B" w:rsidRPr="00121A6B" w:rsidRDefault="00121A6B" w:rsidP="00121A6B">
      <w:pPr>
        <w:widowControl w:val="0"/>
        <w:suppressAutoHyphens w:val="0"/>
        <w:ind w:right="-1" w:firstLine="720"/>
        <w:jc w:val="both"/>
        <w:rPr>
          <w:rFonts w:ascii="Bookman Old Style" w:hAnsi="Bookman Old Style"/>
          <w:sz w:val="22"/>
          <w:szCs w:val="22"/>
          <w:lang w:eastAsia="it-IT"/>
        </w:rPr>
      </w:pPr>
    </w:p>
    <w:p w:rsidR="00121A6B" w:rsidRPr="00121A6B" w:rsidRDefault="00121A6B" w:rsidP="00121A6B">
      <w:pPr>
        <w:suppressAutoHyphens w:val="0"/>
        <w:ind w:firstLine="720"/>
        <w:jc w:val="both"/>
        <w:rPr>
          <w:rFonts w:ascii="Bookman Old Style" w:hAnsi="Bookman Old Style"/>
          <w:sz w:val="22"/>
          <w:szCs w:val="22"/>
          <w:lang w:eastAsia="it-IT"/>
        </w:rPr>
      </w:pPr>
      <w:r w:rsidRPr="00121A6B">
        <w:rPr>
          <w:rFonts w:ascii="Bookman Old Style" w:hAnsi="Bookman Old Style"/>
          <w:sz w:val="22"/>
          <w:szCs w:val="22"/>
          <w:lang w:eastAsia="it-IT"/>
        </w:rPr>
        <w:t>Dichiaro inoltre di conoscere gli obblighi che mi derivano dal rapporto di lavoro, gli obblighi di diligenza e fedeltà espressi dagli artt. 2104 e 2015 del Codice Civile, nonché le norme disciplinari previste dalla Legge n. 300/1970 art. 7 e dal contratto collettivo nazionale applicato, di cui ho preso visione nel luogo di affissione aziendale.</w:t>
      </w:r>
    </w:p>
    <w:p w:rsidR="00121A6B" w:rsidRPr="00121A6B" w:rsidRDefault="00121A6B" w:rsidP="00121A6B">
      <w:pPr>
        <w:suppressAutoHyphens w:val="0"/>
        <w:ind w:firstLine="720"/>
        <w:jc w:val="both"/>
        <w:rPr>
          <w:rFonts w:ascii="Bookman Old Style" w:hAnsi="Bookman Old Style"/>
          <w:sz w:val="22"/>
          <w:szCs w:val="22"/>
          <w:lang w:eastAsia="it-IT"/>
        </w:rPr>
      </w:pPr>
    </w:p>
    <w:p w:rsidR="00121A6B" w:rsidRPr="00121A6B" w:rsidRDefault="00121A6B" w:rsidP="00121A6B">
      <w:pPr>
        <w:widowControl w:val="0"/>
        <w:suppressAutoHyphens w:val="0"/>
        <w:ind w:right="-1"/>
        <w:jc w:val="both"/>
        <w:rPr>
          <w:rFonts w:ascii="Bookman Old Style" w:hAnsi="Bookman Old Style"/>
          <w:sz w:val="22"/>
          <w:szCs w:val="22"/>
          <w:lang w:eastAsia="it-IT"/>
        </w:rPr>
      </w:pPr>
      <w:r w:rsidRPr="00121A6B">
        <w:rPr>
          <w:rFonts w:ascii="Bookman Old Style" w:hAnsi="Bookman Old Style"/>
          <w:sz w:val="22"/>
          <w:szCs w:val="22"/>
          <w:lang w:eastAsia="it-IT"/>
        </w:rPr>
        <w:t>Clausola 1) obbligo di fedeltà: il lavoratore non deve trattare affari per conto proprio o di terzi, in concorrenza con l’imprenditore/datore di lavoro, né divulgare notizie attinenti all’organizzazione e ai metodi di produzione dell’impresa o farne uso in modo da poterle recare pregiudizio (articolo 2105 c.c.).</w:t>
      </w:r>
    </w:p>
    <w:p w:rsidR="00121A6B" w:rsidRPr="00121A6B" w:rsidRDefault="00121A6B" w:rsidP="00121A6B">
      <w:pPr>
        <w:suppressAutoHyphens w:val="0"/>
        <w:ind w:firstLine="720"/>
        <w:jc w:val="both"/>
        <w:rPr>
          <w:rFonts w:ascii="Bookman Old Style" w:hAnsi="Bookman Old Style"/>
          <w:sz w:val="22"/>
          <w:szCs w:val="22"/>
          <w:lang w:eastAsia="it-IT"/>
        </w:rPr>
      </w:pPr>
    </w:p>
    <w:p w:rsidR="00121A6B" w:rsidRPr="00121A6B" w:rsidRDefault="00121A6B" w:rsidP="00121A6B">
      <w:pPr>
        <w:suppressAutoHyphens w:val="0"/>
        <w:ind w:firstLine="720"/>
        <w:jc w:val="both"/>
        <w:rPr>
          <w:rFonts w:ascii="Bookman Old Style" w:hAnsi="Bookman Old Style"/>
          <w:sz w:val="22"/>
          <w:szCs w:val="22"/>
          <w:lang w:eastAsia="it-IT"/>
        </w:rPr>
      </w:pPr>
      <w:r w:rsidRPr="00121A6B">
        <w:rPr>
          <w:rFonts w:ascii="Bookman Old Style" w:hAnsi="Bookman Old Style"/>
          <w:noProof/>
          <w:sz w:val="22"/>
          <w:szCs w:val="22"/>
          <w:lang w:eastAsia="it-IT"/>
        </w:rPr>
        <w:pict>
          <v:shape id="_x0000_s2051" type="#_x0000_t75" style="position:absolute;left:0;text-align:left;margin-left:304.3pt;margin-top:6.3pt;width:186pt;height:89.25pt;z-index:251657728">
            <v:imagedata r:id="rId7" o:title="Firma HQ Engineering Barbera"/>
          </v:shape>
        </w:pict>
      </w:r>
    </w:p>
    <w:p w:rsidR="00121A6B" w:rsidRPr="00121A6B" w:rsidRDefault="00121A6B" w:rsidP="00121A6B">
      <w:pPr>
        <w:suppressAutoHyphens w:val="0"/>
        <w:ind w:firstLine="720"/>
        <w:jc w:val="both"/>
        <w:rPr>
          <w:rFonts w:ascii="Bookman Old Style" w:hAnsi="Bookman Old Style"/>
          <w:sz w:val="22"/>
          <w:szCs w:val="22"/>
          <w:lang w:eastAsia="it-IT"/>
        </w:rPr>
      </w:pPr>
    </w:p>
    <w:p w:rsidR="00121A6B" w:rsidRPr="00121A6B" w:rsidRDefault="00121A6B" w:rsidP="00121A6B">
      <w:pPr>
        <w:suppressAutoHyphens w:val="0"/>
        <w:rPr>
          <w:rFonts w:ascii="Bookman Old Style" w:hAnsi="Bookman Old Style"/>
          <w:sz w:val="22"/>
          <w:szCs w:val="22"/>
          <w:lang w:eastAsia="it-IT"/>
        </w:rPr>
      </w:pPr>
      <w:r w:rsidRPr="00121A6B">
        <w:rPr>
          <w:rFonts w:ascii="Bookman Old Style" w:hAnsi="Bookman Old Style"/>
          <w:sz w:val="22"/>
          <w:szCs w:val="22"/>
          <w:lang w:eastAsia="it-IT"/>
        </w:rPr>
        <w:t xml:space="preserve">Per accettazione: </w:t>
      </w:r>
    </w:p>
    <w:p w:rsidR="00121A6B" w:rsidRPr="00121A6B" w:rsidRDefault="00121A6B" w:rsidP="00121A6B">
      <w:pPr>
        <w:suppressAutoHyphens w:val="0"/>
        <w:rPr>
          <w:rFonts w:ascii="Bookman Old Style" w:hAnsi="Bookman Old Style"/>
          <w:sz w:val="22"/>
          <w:szCs w:val="22"/>
          <w:lang w:eastAsia="it-IT"/>
        </w:rPr>
      </w:pPr>
      <w:r w:rsidRPr="00121A6B">
        <w:rPr>
          <w:rFonts w:ascii="Bookman Old Style" w:hAnsi="Bookman Old Style"/>
          <w:sz w:val="22"/>
          <w:szCs w:val="22"/>
          <w:highlight w:val="yellow"/>
          <w:lang w:eastAsia="it-IT"/>
        </w:rPr>
        <w:t>BAGGIO ROBERTO</w:t>
      </w:r>
    </w:p>
    <w:p w:rsidR="00121A6B" w:rsidRPr="00121A6B" w:rsidRDefault="00121A6B" w:rsidP="00121A6B">
      <w:pPr>
        <w:suppressAutoHyphens w:val="0"/>
        <w:rPr>
          <w:rFonts w:ascii="Bookman Old Style" w:hAnsi="Bookman Old Style"/>
          <w:sz w:val="22"/>
          <w:szCs w:val="22"/>
          <w:lang w:eastAsia="it-IT"/>
        </w:rPr>
      </w:pPr>
    </w:p>
    <w:p w:rsidR="00121A6B" w:rsidRPr="00121A6B" w:rsidRDefault="00121A6B" w:rsidP="00121A6B">
      <w:pPr>
        <w:suppressAutoHyphens w:val="0"/>
        <w:rPr>
          <w:rFonts w:ascii="Bookman Old Style" w:hAnsi="Bookman Old Style"/>
          <w:sz w:val="22"/>
          <w:szCs w:val="22"/>
          <w:lang w:eastAsia="it-IT"/>
        </w:rPr>
      </w:pPr>
    </w:p>
    <w:p w:rsidR="00A94036" w:rsidRDefault="00A94036"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22E78"/>
    <w:p w:rsidR="005B69EB"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TERZIARIO - Confcommercio (H011)</w:t>
      </w:r>
    </w:p>
    <w:p w:rsidR="005B69EB" w:rsidRPr="00C33BBC" w:rsidRDefault="005B69EB" w:rsidP="005B69EB">
      <w:pPr>
        <w:outlineLvl w:val="0"/>
        <w:rPr>
          <w:b/>
          <w:iCs/>
          <w:color w:val="474747"/>
          <w:kern w:val="36"/>
          <w:lang w:eastAsia="it-IT"/>
        </w:rPr>
      </w:pPr>
    </w:p>
    <w:p w:rsidR="005B69EB" w:rsidRPr="00C33BBC" w:rsidRDefault="005B69EB" w:rsidP="005B69EB">
      <w:pPr>
        <w:outlineLvl w:val="0"/>
        <w:rPr>
          <w:b/>
          <w:iCs/>
          <w:color w:val="474747"/>
          <w:kern w:val="36"/>
          <w:lang w:eastAsia="it-IT"/>
        </w:rPr>
      </w:pPr>
      <w:r w:rsidRPr="00C33BBC">
        <w:rPr>
          <w:b/>
          <w:iCs/>
          <w:color w:val="474747"/>
          <w:kern w:val="36"/>
          <w:lang w:eastAsia="it-IT"/>
        </w:rPr>
        <w:t xml:space="preserve">In ottemperanza </w:t>
      </w:r>
      <w:proofErr w:type="spellStart"/>
      <w:r w:rsidRPr="00C33BBC">
        <w:rPr>
          <w:b/>
          <w:iCs/>
          <w:color w:val="474747"/>
          <w:kern w:val="36"/>
          <w:lang w:eastAsia="it-IT"/>
        </w:rPr>
        <w:t>D.Lgs.</w:t>
      </w:r>
      <w:proofErr w:type="spellEnd"/>
      <w:r w:rsidRPr="00C33BBC">
        <w:rPr>
          <w:b/>
          <w:iCs/>
          <w:color w:val="474747"/>
          <w:kern w:val="36"/>
          <w:lang w:eastAsia="it-IT"/>
        </w:rPr>
        <w:t xml:space="preserve"> 104/2022; GU 29 luglio 2022 n. 176 </w:t>
      </w:r>
    </w:p>
    <w:p w:rsidR="005B69EB"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Periodo di prova</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lang w:eastAsia="it-IT"/>
        </w:rPr>
        <w:t>Livello Q-1: 6 mesi; livello 2, 3, 4 e 5: 60 giorni; livello 6-7: 45 giorni; operatori di vendita: 60 giorni (in giorni di calendario per il livello Q-1; in giorni di lavoro effettivo per gli altri livelli e per gli operatori di vendita).</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 xml:space="preserve">Divisori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Giornaliero: 26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Orario: 168 (personale a 40 ore settimanali), 182 (42 ore settimanali), 195 (45 ore settimanali).</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Mensilità contrattuali</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14</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Scatti di anzianità</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10 triennali</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Indennità varie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Il </w:t>
      </w:r>
      <w:r>
        <w:rPr>
          <w:rFonts w:ascii="Bookman Old Style" w:hAnsi="Bookman Old Style"/>
          <w:lang w:eastAsia="it-IT"/>
        </w:rPr>
        <w:t>CCNL</w:t>
      </w:r>
      <w:r w:rsidRPr="00C33BBC">
        <w:rPr>
          <w:rFonts w:ascii="Bookman Old Style" w:hAnsi="Bookman Old Style"/>
          <w:lang w:eastAsia="it-IT"/>
        </w:rPr>
        <w:t xml:space="preserve"> prevede l'erogazione, ricorrendone i presupposti, delle seguenti indennità: indennità di funzione (quadri), terzo elemento, indennità di cassa, indennità di reperibilità (sosta e parcheggi e call centers), vitto e alloggio, premio aziendale, indennità di trasferta e di trasferimento.</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Orario di lavoro</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40 ore settimanali, ovvero 39 o 38 con assorbimento di permessi per riduzione annua dell'orario di lavoro ed ex festività. Regimi di orario particolari sono previsti per specifici tipi di attività.</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 xml:space="preserve">Lavoro straordinario, notturno e festivo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Percentuali di maggiorazione (sulla quota oraria della normale retribuzione, ovvero della retribuzione di fatto per i lavoratori retribuiti in tutto o in parte a provvigione).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Straordinario: fino alla 48ª ora settimanale, 15%; oltre la 48ª, 20%; festivo o domenicale, 30%; notturno (non in turni), 50%. Specifiche maggiorazioni sono previste per gli agenti immobiliari.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Notturno: 15%.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Festivo: 30%; domenicale con riposo settimanale in giorno diverso: 30%.</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Ferie e permessi</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Ferie. 26 giorni lavorativi (da lunedì al sabato).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Riduzione annua. 56 ore (72 per le aziende con più di 15 dipendenti); per gli operatori di vendita 9 giornate. Per gli iscritti nel libro unico dopo il 1° marzo 2011, 50% del monte permessi decorsi 2 anni dall'assunzione e 100% del monte permessi decorsi 4 anni dall'assunzione.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Ex festività. 4 giornate annue.</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Malattia</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Conservazione del posto. 180 giorni nell'anno solare, più eventuali 120 giorni di aspettativa e ulteriori 12 mesi per gravi patologie. Una disciplina specifica è prevista per gli operatori di vendita.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Trattamento economico. Integrazione dell'indennità Inps fino a concorrenza delle seguenti aliquote della retribuzione netta di fatto (la quota giornaliera va calcolata con i criteri adottati dall'INPS): 100%, dal 1° al 3° giorno, 75% dal 4° al 20°, 100% dal 21°. L'integrazione dal 1° al 3° giorno è corrisposta nella misura del 100% per i primi 2 eventi morbosi, del 66% per il 3° evento e del 50% per il 4° evento e cessa di essere corrisposta a partire dal 5° evento.</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Per gli operatori di vendita e per le agenzie di scommesse vige una disciplina specifica.</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Infortunio sul lavoro</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Conservazione del posto. 180 giorni nell'anno solare.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Trattamento economico. Trattamento integrativo, a carico dell'azienda, fino a concorrenza delle seguenti aliquote della retribuzione netta di fatto: 100% per il 1° giorno; 60% dal 2° al 4° giorno; 90% dal 5° al 20° giorno; 100% dal 21° giorno. Per gli operatori di vendita vige una disciplina specifica.</w:t>
      </w:r>
    </w:p>
    <w:p w:rsidR="00D85BE5" w:rsidRDefault="00D85BE5" w:rsidP="005B69EB">
      <w:pPr>
        <w:spacing w:before="100" w:beforeAutospacing="1" w:after="100" w:afterAutospacing="1"/>
        <w:outlineLvl w:val="0"/>
        <w:rPr>
          <w:rFonts w:ascii="Bookman Old Style" w:hAnsi="Bookman Old Style"/>
          <w:b/>
          <w:bCs/>
          <w:kern w:val="36"/>
          <w:lang w:eastAsia="it-IT"/>
        </w:rPr>
      </w:pPr>
    </w:p>
    <w:p w:rsidR="00D85BE5" w:rsidRDefault="00D85BE5" w:rsidP="005B69EB">
      <w:pPr>
        <w:spacing w:before="100" w:beforeAutospacing="1" w:after="100" w:afterAutospacing="1"/>
        <w:outlineLvl w:val="0"/>
        <w:rPr>
          <w:rFonts w:ascii="Bookman Old Style" w:hAnsi="Bookman Old Style"/>
          <w:b/>
          <w:bCs/>
          <w:kern w:val="36"/>
          <w:lang w:eastAsia="it-IT"/>
        </w:rPr>
      </w:pP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Maternità</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Per i primi 5 mesi di assenza, integrazione dell'indennità INPS fino al 100% della retribuzione mensile netta.</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Integrazione dell'indennità Inps fino al 100% del rateo della 13ª e 14ª mensilità relativo al periodo di assenza obbligatoria. </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Congedo matrimoniale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15 giorni di calendario, con decorrenza della retribuzione di fatto.</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Assistenza integrativa e welfare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Contributi assistenza sanitaria integrativa. € 10 mensili a carico azienda (€ 13 mensili dal 1° aprile 2025); € 2 mensili a carico del lavoratore. Quota una tantum obbligatoria pari a € 30 per ciascun iscritto, a carico dell’azienda. In caso di mancato versamento, erogazione in busta paga di un elemento distinto della retribuzione non assorbibile pari ad € 16,00, per 14 mensilità. Per i quadri è dovuto un contributo alla Quas di € 350 annui (elevato ad € 370 annui dal 1° gennaio 2025 e ad € 390 annui dal 1° gennaio 2026) e un contributo di € 286 da corrispondere all'atto dell'iscrizione, entrambi a carico del datore di lavoro, più un contributo di € 56 annui a carico del lavoratore.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Contributi Ente Bilaterale. 0,10% a carico dell'azienda e dello 0,05% a carico del lavoratore, su paga base e indennità di contingenza, per 14 mensilità. In caso di mancato versamento, erogazione in busta paga per 14 mensilità di un elemento distinto della retribuzione pari allo 0,30% di paga base e indennità di contingenza.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Formazione professionale. Per i quadri è dovuto un contributo annuo pari a € 75,00, di cui € 50,00 a carico dell'azienda e € 25,00 a carico del quadro.</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Preavviso</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(in giorni di calendario)</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Licenziamento. Anzianità fino a 5 anni: - Livello Q-1: 60 giorni - Livello 2-3: 30 giorni - Livello 4-5: 20 giorni - Livello 6-7: 15 giorni - Operatori di vendita: 30 giorni. Anzianità da 6 a 10 anni: - Livello Q-1: 90 giorni - Livello 2-3: 45 giorni - Livello 4-5: 30 giorni - Livello 6-7: 20 giorni - Operatori di vendita: 45 giorni. Anzianità oltre 10 anni: - Livello Q-1: 120 giorni - Livello 2-3: 60 giorni - Livello 4-5: 45 giorni - Livello 6-7: 20 giorni - Operatori di vendita: 60 giorni</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Dimissioni. Anzianità fino a 5 anni. Livello Q-1: 45 giorni; Livello 2-3: 20 giorni; Livello 4-5: 15 giorni; Livello 6-7: 10 giorni; Operatori di vendita: 30 giorni. Anzianità da 6 a 10 anni. Livello Q-1: 60 giorni; Livello 2-3: 30 giorni; Livello 4-5: 20 giorni; Livello 6-7: 15 giorni; Operatori di vendita: 45 giorni. Anzianità oltre 10 anni. Livello Q-1: 90 giorni. Livello 2-3: 45 giorni. Livello 4-5: 30 giorni. Livello 6-7: 15 giorni. Operatori di vendita: 60 giorni</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Il preavviso decorre dal 1° o dal 16° giorno di ciascun mese.</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Apprendistato</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Limiti percentuali. 100% dei lavoratori specializzati e qualificati in servizio e comunque fino a 3 contratti.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Permessi. I </w:t>
      </w:r>
      <w:proofErr w:type="spellStart"/>
      <w:r w:rsidRPr="00C33BBC">
        <w:rPr>
          <w:rFonts w:ascii="Bookman Old Style" w:hAnsi="Bookman Old Style"/>
          <w:lang w:eastAsia="it-IT"/>
        </w:rPr>
        <w:t>rol</w:t>
      </w:r>
      <w:proofErr w:type="spellEnd"/>
      <w:r w:rsidRPr="00C33BBC">
        <w:rPr>
          <w:rFonts w:ascii="Bookman Old Style" w:hAnsi="Bookman Old Style"/>
          <w:lang w:eastAsia="it-IT"/>
        </w:rPr>
        <w:t xml:space="preserve"> sono riconosciuti per il 50% decorsa la metà della durata del contratto e per il 100% al termine del contratto.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Part-time. L'orario non può essere inferiore al 60% dell'orario settimanale per il tempo pieno.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Malattia. 60% della retribuzione lorda cui avrebbe avuto diritto in caso di normale svolgimento del rapporto, per i primi 3 giorni di malattia e limitatamente a 6 eventi morbosi in ragione d'anno. In caso di ricovero ospedaliero l'indennità spetta per l'intera durata dello stesso, entro i limiti del comporto (180 giorni).</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Apprendistato professionalizzante. Qualifiche ammesse. Livelli dal 2° al 6° (con le specifiche esclusioni previste dal </w:t>
      </w:r>
      <w:proofErr w:type="spellStart"/>
      <w:r w:rsidRPr="00C33BBC">
        <w:rPr>
          <w:rFonts w:ascii="Bookman Old Style" w:hAnsi="Bookman Old Style"/>
          <w:lang w:eastAsia="it-IT"/>
        </w:rPr>
        <w:t>c.c.n.l.</w:t>
      </w:r>
      <w:proofErr w:type="spellEnd"/>
      <w:r w:rsidRPr="00C33BBC">
        <w:rPr>
          <w:rFonts w:ascii="Bookman Old Style" w:hAnsi="Bookman Old Style"/>
          <w:lang w:eastAsia="it-IT"/>
        </w:rPr>
        <w:t xml:space="preserve">). Durata. Livelli 2, 3, 4 e 5, 36 mesi; livello 6, 24 mesi. Attività formativa. Il </w:t>
      </w:r>
      <w:proofErr w:type="spellStart"/>
      <w:r w:rsidRPr="00C33BBC">
        <w:rPr>
          <w:rFonts w:ascii="Bookman Old Style" w:hAnsi="Bookman Old Style"/>
          <w:lang w:eastAsia="it-IT"/>
        </w:rPr>
        <w:t>c.c.n.l.</w:t>
      </w:r>
      <w:proofErr w:type="spellEnd"/>
      <w:r w:rsidRPr="00C33BBC">
        <w:rPr>
          <w:rFonts w:ascii="Bookman Old Style" w:hAnsi="Bookman Old Style"/>
          <w:lang w:eastAsia="it-IT"/>
        </w:rPr>
        <w:t xml:space="preserve"> prevede durate differenziate in relazione alle attività da svolgere.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Per gli operatori di vendita vige una disciplina specifica.</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Lavoro a termine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Limiti numerici. 20% annuo dei lavoratori in forza a tempo indeterminato in ogni unità produttiva o comunque 4 contratti nelle unità fino a 15 dipendenti (6, tra contratto a termine e di somministrazione) e 6 contratti nelle unità da 16 a 30 dipendenti. 28% annuo dei lavoratori in forza nell'unità (termine + somministrazione).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 xml:space="preserve">Durata. 12 mesi per i contratti di sostegno. </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Per il settore ortofrutticoli e per i call centers vige una disciplina specifica.</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Contratto di somministrazione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Limiti numerici. 15% dei lavoratori in forza a tempo indeterminato in ogni unità produttiva o comunque 2 contratti nelle unità fino a 15 dipendenti (6, tra contratto a termine e di somministrazione) e 5 contratti nelle unità da 16 a 30 dipendenti. 28% annuo dei lavoratori in forza nell'unità complessivamente per assunzioni con contratto di somministrazione ed a termine.</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Lavoro part-time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Orario. Part-time settimanale, almeno 16 ore; mensile, almeno 64 ore; annuale, almeno 532 ore. Nelle aziende con più di 30 dipendenti, i limiti sono, rispettivamente, 18, 72 e 600 ore. Per studenti, lavoratori già occupati a part time in altra azienda o giovani fino a 25 anni compiuti, part-time di 8 ore al sabato o domenica.</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Lavoro supplementare. Fino al limite dell'orario del personale a tempo pieno. Percentuale di maggiorazione: 35% sulla quota oraria della retribuzione di fatto.</w:t>
      </w:r>
    </w:p>
    <w:p w:rsidR="005B69EB" w:rsidRPr="00C33BBC" w:rsidRDefault="005B69EB" w:rsidP="005B69EB">
      <w:pPr>
        <w:spacing w:before="100" w:beforeAutospacing="1" w:after="100" w:afterAutospacing="1"/>
        <w:outlineLvl w:val="0"/>
        <w:rPr>
          <w:rFonts w:ascii="Bookman Old Style" w:hAnsi="Bookman Old Style"/>
          <w:b/>
          <w:bCs/>
          <w:kern w:val="36"/>
          <w:lang w:eastAsia="it-IT"/>
        </w:rPr>
      </w:pPr>
      <w:r w:rsidRPr="00C33BBC">
        <w:rPr>
          <w:rFonts w:ascii="Bookman Old Style" w:hAnsi="Bookman Old Style"/>
          <w:b/>
          <w:bCs/>
          <w:kern w:val="36"/>
          <w:lang w:eastAsia="it-IT"/>
        </w:rPr>
        <w:t>Lavoro agile</w:t>
      </w:r>
    </w:p>
    <w:p w:rsidR="005B69EB" w:rsidRPr="00C33BBC" w:rsidRDefault="005B69EB" w:rsidP="005B69EB">
      <w:pPr>
        <w:spacing w:before="100" w:beforeAutospacing="1" w:after="100" w:afterAutospacing="1"/>
        <w:rPr>
          <w:rFonts w:ascii="Bookman Old Style" w:hAnsi="Bookman Old Style"/>
          <w:lang w:eastAsia="it-IT"/>
        </w:rPr>
      </w:pPr>
      <w:r w:rsidRPr="00C33BBC">
        <w:rPr>
          <w:rFonts w:ascii="Bookman Old Style" w:hAnsi="Bookman Old Style"/>
          <w:lang w:eastAsia="it-IT"/>
        </w:rPr>
        <w:t>Il CCNL recepisce il Protocollo 7 dicembre 2021 sul lavoro agile.</w:t>
      </w:r>
    </w:p>
    <w:p w:rsidR="005B69EB" w:rsidRDefault="005B69EB" w:rsidP="00522E78">
      <w:r>
        <w:t xml:space="preserve"> </w:t>
      </w:r>
    </w:p>
    <w:p w:rsidR="005B69EB" w:rsidRPr="005B69EB" w:rsidRDefault="005B69EB" w:rsidP="005B69EB">
      <w:pPr>
        <w:shd w:val="clear" w:color="auto" w:fill="FFFFFF"/>
        <w:suppressAutoHyphens w:val="0"/>
        <w:jc w:val="both"/>
        <w:rPr>
          <w:rFonts w:ascii="Bookman Old Style" w:hAnsi="Bookman Old Style"/>
          <w:bCs/>
          <w:smallCaps/>
          <w:color w:val="4472C4"/>
          <w:spacing w:val="5"/>
          <w:sz w:val="22"/>
          <w:szCs w:val="22"/>
          <w:lang w:eastAsia="it-IT"/>
        </w:rPr>
      </w:pPr>
    </w:p>
    <w:p w:rsidR="005B69EB" w:rsidRPr="005B69EB" w:rsidRDefault="005B69EB" w:rsidP="005B69EB">
      <w:pPr>
        <w:suppressAutoHyphens w:val="0"/>
        <w:rPr>
          <w:lang w:eastAsia="it-IT"/>
        </w:rPr>
      </w:pPr>
      <w:r>
        <w:rPr>
          <w:noProof/>
        </w:rPr>
        <w:pict>
          <v:shape id="_x0000_s2053" type="#_x0000_t75" style="position:absolute;margin-left:288.9pt;margin-top:11.95pt;width:186pt;height:89.25pt;z-index:-251657728">
            <v:imagedata r:id="rId7" o:title="Firma HQ Engineering Barbera"/>
          </v:shape>
        </w:pict>
      </w:r>
    </w:p>
    <w:p w:rsidR="00BD2C56" w:rsidRDefault="00BD2C56" w:rsidP="00522E78"/>
    <w:p w:rsidR="00BD2C56" w:rsidRDefault="00BD2C56" w:rsidP="00BD2C56">
      <w:pPr>
        <w:spacing w:line="0" w:lineRule="atLeast"/>
        <w:contextualSpacing/>
      </w:pPr>
    </w:p>
    <w:p w:rsidR="005B69EB" w:rsidRDefault="00BD2C56" w:rsidP="00BD2C56">
      <w:pPr>
        <w:contextualSpacing/>
      </w:pPr>
      <w:r>
        <w:t>Per accettazione</w:t>
      </w:r>
    </w:p>
    <w:p w:rsidR="00BD2C56" w:rsidRPr="00522E78" w:rsidRDefault="00BD2C56" w:rsidP="00BD2C56">
      <w:pPr>
        <w:contextualSpacing/>
      </w:pPr>
      <w:r w:rsidRPr="00BD2C56">
        <w:rPr>
          <w:highlight w:val="yellow"/>
        </w:rPr>
        <w:t>BAGGIO ROBERTO</w:t>
      </w:r>
    </w:p>
    <w:sectPr w:rsidR="00BD2C56" w:rsidRPr="00522E78">
      <w:headerReference w:type="default" r:id="rId8"/>
      <w:footerReference w:type="default" r:id="rId9"/>
      <w:headerReference w:type="first" r:id="rId10"/>
      <w:footerReference w:type="first" r:id="rId11"/>
      <w:pgSz w:w="11906" w:h="16838"/>
      <w:pgMar w:top="851" w:right="794" w:bottom="1418" w:left="795" w:header="709" w:footer="1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116C" w:rsidRDefault="000E116C">
      <w:r>
        <w:separator/>
      </w:r>
    </w:p>
  </w:endnote>
  <w:endnote w:type="continuationSeparator" w:id="0">
    <w:p w:rsidR="000E116C" w:rsidRDefault="000E1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stige Elite">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echnic">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4036" w:rsidRDefault="00A94036">
    <w:pPr>
      <w:pStyle w:val="Footer"/>
      <w:jc w:val="center"/>
      <w:rPr>
        <w:color w:val="808080"/>
        <w:sz w:val="16"/>
        <w:lang w:val="en-GB" w:eastAsia="x-none"/>
      </w:rPr>
    </w:pPr>
    <w:r>
      <w:pict>
        <v:line id="Forma2" o:spid="_x0000_s1026" style="position:absolute;left:0;text-align:left;z-index:-251658752" from="13.05pt,6.05pt" to="479.55pt,6.05pt" o:allowincell="f" strokecolor="blue" strokeweight=".26mm">
          <v:stroke color2="yellow" joinstyle="miter"/>
        </v:line>
      </w:pict>
    </w:r>
  </w:p>
  <w:tbl>
    <w:tblPr>
      <w:tblW w:w="0" w:type="auto"/>
      <w:jc w:val="center"/>
      <w:tblLayout w:type="fixed"/>
      <w:tblLook w:val="0000" w:firstRow="0" w:lastRow="0" w:firstColumn="0" w:lastColumn="0" w:noHBand="0" w:noVBand="0"/>
    </w:tblPr>
    <w:tblGrid>
      <w:gridCol w:w="2253"/>
      <w:gridCol w:w="1355"/>
      <w:gridCol w:w="1463"/>
      <w:gridCol w:w="1436"/>
      <w:gridCol w:w="2554"/>
    </w:tblGrid>
    <w:tr w:rsidR="00A94036">
      <w:trPr>
        <w:jc w:val="center"/>
      </w:trPr>
      <w:tc>
        <w:tcPr>
          <w:tcW w:w="2253" w:type="dxa"/>
        </w:tcPr>
        <w:p w:rsidR="00A94036" w:rsidRDefault="00A94036">
          <w:pPr>
            <w:pStyle w:val="Footer"/>
            <w:snapToGrid w:val="0"/>
            <w:ind w:right="701"/>
            <w:rPr>
              <w:lang w:val="en-US"/>
            </w:rPr>
          </w:pPr>
        </w:p>
        <w:p w:rsidR="00A94036" w:rsidRDefault="00A94036">
          <w:pPr>
            <w:pStyle w:val="Footer"/>
            <w:rPr>
              <w:rFonts w:cs="Arial"/>
              <w:b/>
              <w:smallCaps/>
              <w:color w:val="365F91"/>
              <w:sz w:val="18"/>
              <w:szCs w:val="14"/>
              <w:lang w:val="en-GB"/>
            </w:rPr>
          </w:pPr>
        </w:p>
        <w:p w:rsidR="00A94036" w:rsidRDefault="00A94036">
          <w:pPr>
            <w:pStyle w:val="Footer"/>
            <w:rPr>
              <w:rFonts w:cs="Arial"/>
              <w:b/>
              <w:smallCaps/>
              <w:color w:val="365F91"/>
              <w:sz w:val="18"/>
              <w:szCs w:val="14"/>
              <w:lang w:val="en-GB"/>
            </w:rPr>
          </w:pPr>
        </w:p>
        <w:p w:rsidR="00A94036" w:rsidRDefault="00A94036">
          <w:pPr>
            <w:pStyle w:val="Footer"/>
            <w:rPr>
              <w:rFonts w:cs="Arial"/>
              <w:b/>
              <w:smallCaps/>
              <w:color w:val="365F91"/>
              <w:sz w:val="18"/>
              <w:szCs w:val="14"/>
              <w:lang w:val="en-GB"/>
            </w:rPr>
          </w:pPr>
        </w:p>
        <w:p w:rsidR="00A94036" w:rsidRDefault="00A94036">
          <w:pPr>
            <w:pStyle w:val="Footer"/>
            <w:rPr>
              <w:rFonts w:cs="Arial"/>
              <w:b/>
              <w:smallCaps/>
              <w:color w:val="3366FF"/>
              <w:sz w:val="18"/>
              <w:szCs w:val="14"/>
              <w:lang w:val="en-GB"/>
            </w:rPr>
          </w:pPr>
          <w:r>
            <w:rPr>
              <w:rFonts w:cs="Arial"/>
              <w:b/>
              <w:smallCaps/>
              <w:color w:val="365F91"/>
              <w:sz w:val="18"/>
              <w:szCs w:val="14"/>
              <w:lang w:val="en-GB"/>
            </w:rPr>
            <w:t xml:space="preserve">HQ Engineering </w:t>
          </w:r>
          <w:proofErr w:type="spellStart"/>
          <w:r>
            <w:rPr>
              <w:rFonts w:cs="Arial"/>
              <w:b/>
              <w:smallCaps/>
              <w:color w:val="365F91"/>
              <w:sz w:val="18"/>
              <w:szCs w:val="14"/>
              <w:lang w:val="en-GB"/>
            </w:rPr>
            <w:t>S.r.l</w:t>
          </w:r>
          <w:proofErr w:type="spellEnd"/>
          <w:r>
            <w:rPr>
              <w:rFonts w:cs="Arial"/>
              <w:b/>
              <w:smallCaps/>
              <w:color w:val="365F91"/>
              <w:sz w:val="18"/>
              <w:szCs w:val="14"/>
              <w:lang w:val="en-GB"/>
            </w:rPr>
            <w:t xml:space="preserve">. </w:t>
          </w:r>
        </w:p>
        <w:p w:rsidR="00A94036" w:rsidRDefault="00A94036">
          <w:pPr>
            <w:pStyle w:val="Footer"/>
            <w:ind w:right="701"/>
            <w:rPr>
              <w:rFonts w:cs="Arial"/>
              <w:b/>
              <w:smallCaps/>
              <w:color w:val="3366FF"/>
              <w:sz w:val="18"/>
              <w:szCs w:val="14"/>
              <w:lang w:val="en-GB"/>
            </w:rPr>
          </w:pPr>
        </w:p>
      </w:tc>
      <w:tc>
        <w:tcPr>
          <w:tcW w:w="1355" w:type="dxa"/>
        </w:tcPr>
        <w:p w:rsidR="00A94036" w:rsidRDefault="00A94036">
          <w:pPr>
            <w:pStyle w:val="Footer"/>
            <w:snapToGrid w:val="0"/>
            <w:rPr>
              <w:rFonts w:cs="Arial"/>
              <w:b/>
              <w:smallCaps/>
              <w:color w:val="365F91"/>
              <w:sz w:val="18"/>
              <w:szCs w:val="14"/>
              <w:lang w:val="en-GB"/>
            </w:rPr>
          </w:pPr>
        </w:p>
        <w:p w:rsidR="00A94036" w:rsidRDefault="00A94036">
          <w:pPr>
            <w:pStyle w:val="Footer"/>
            <w:rPr>
              <w:rFonts w:cs="Arial"/>
              <w:b/>
              <w:smallCaps/>
              <w:color w:val="365F91"/>
              <w:sz w:val="14"/>
              <w:szCs w:val="14"/>
              <w:lang w:val="en-US"/>
            </w:rPr>
          </w:pPr>
        </w:p>
        <w:p w:rsidR="00A94036" w:rsidRDefault="00A94036">
          <w:pPr>
            <w:pStyle w:val="Footer"/>
            <w:rPr>
              <w:rFonts w:cs="Arial"/>
              <w:b/>
              <w:smallCaps/>
              <w:color w:val="365F91"/>
              <w:sz w:val="14"/>
              <w:szCs w:val="14"/>
              <w:lang w:val="en-US"/>
            </w:rPr>
          </w:pPr>
        </w:p>
        <w:p w:rsidR="00A94036" w:rsidRDefault="00A94036">
          <w:pPr>
            <w:pStyle w:val="Footer"/>
            <w:rPr>
              <w:rFonts w:cs="Arial"/>
              <w:b/>
              <w:smallCaps/>
              <w:color w:val="365F91"/>
              <w:sz w:val="14"/>
              <w:szCs w:val="14"/>
              <w:lang w:val="en-US"/>
            </w:rPr>
          </w:pPr>
        </w:p>
        <w:p w:rsidR="00A94036" w:rsidRDefault="00A94036">
          <w:pPr>
            <w:pStyle w:val="Footer"/>
            <w:rPr>
              <w:rFonts w:cs="Arial"/>
              <w:smallCaps/>
              <w:color w:val="365F91"/>
              <w:sz w:val="14"/>
              <w:szCs w:val="14"/>
            </w:rPr>
          </w:pPr>
          <w:r>
            <w:rPr>
              <w:rFonts w:cs="Arial"/>
              <w:smallCaps/>
              <w:color w:val="365F91"/>
              <w:sz w:val="14"/>
              <w:szCs w:val="14"/>
            </w:rPr>
            <w:t>C.F. e P.I. 08902230963</w:t>
          </w:r>
        </w:p>
        <w:p w:rsidR="00A94036" w:rsidRDefault="00A94036">
          <w:pPr>
            <w:pStyle w:val="Footer"/>
            <w:rPr>
              <w:rFonts w:cs="Arial"/>
              <w:smallCaps/>
              <w:color w:val="365F91"/>
              <w:sz w:val="14"/>
              <w:szCs w:val="14"/>
            </w:rPr>
          </w:pPr>
          <w:r>
            <w:rPr>
              <w:rFonts w:cs="Arial"/>
              <w:smallCaps/>
              <w:color w:val="365F91"/>
              <w:sz w:val="14"/>
              <w:szCs w:val="14"/>
            </w:rPr>
            <w:t xml:space="preserve">Cap. Soc. </w:t>
          </w:r>
        </w:p>
        <w:p w:rsidR="00A94036" w:rsidRDefault="00A94036">
          <w:pPr>
            <w:pStyle w:val="Footer"/>
          </w:pPr>
          <w:r>
            <w:rPr>
              <w:rFonts w:cs="Arial"/>
              <w:smallCaps/>
              <w:color w:val="365F91"/>
              <w:sz w:val="14"/>
              <w:szCs w:val="14"/>
            </w:rPr>
            <w:t xml:space="preserve">10.000 €  </w:t>
          </w:r>
          <w:proofErr w:type="spellStart"/>
          <w:r>
            <w:rPr>
              <w:rFonts w:cs="Arial"/>
              <w:smallCaps/>
              <w:color w:val="365F91"/>
              <w:sz w:val="14"/>
              <w:szCs w:val="14"/>
            </w:rPr>
            <w:t>i.v</w:t>
          </w:r>
          <w:proofErr w:type="spellEnd"/>
          <w:r>
            <w:rPr>
              <w:rFonts w:cs="Arial"/>
              <w:smallCaps/>
              <w:color w:val="365F91"/>
              <w:sz w:val="14"/>
              <w:szCs w:val="14"/>
            </w:rPr>
            <w:t>.</w:t>
          </w:r>
        </w:p>
      </w:tc>
      <w:tc>
        <w:tcPr>
          <w:tcW w:w="1463" w:type="dxa"/>
        </w:tcPr>
        <w:p w:rsidR="00A94036" w:rsidRDefault="00A94036">
          <w:pPr>
            <w:pStyle w:val="Footer"/>
            <w:snapToGrid w:val="0"/>
            <w:rPr>
              <w:rFonts w:cs="Arial"/>
              <w:smallCaps/>
              <w:color w:val="365F91"/>
              <w:sz w:val="18"/>
              <w:szCs w:val="18"/>
              <w:lang w:val="en-GB"/>
            </w:rPr>
          </w:pPr>
        </w:p>
        <w:p w:rsidR="00A94036" w:rsidRDefault="00A94036">
          <w:pPr>
            <w:pStyle w:val="Footer"/>
            <w:ind w:right="204"/>
            <w:rPr>
              <w:rFonts w:cs="Arial"/>
              <w:smallCaps/>
              <w:color w:val="365F91"/>
              <w:sz w:val="14"/>
              <w:szCs w:val="14"/>
              <w:lang w:val="en-GB"/>
            </w:rPr>
          </w:pPr>
        </w:p>
        <w:p w:rsidR="00A94036" w:rsidRDefault="00A94036">
          <w:pPr>
            <w:pStyle w:val="Footer"/>
            <w:ind w:right="204"/>
            <w:rPr>
              <w:rFonts w:cs="Arial"/>
              <w:smallCaps/>
              <w:color w:val="365F91"/>
              <w:sz w:val="14"/>
              <w:szCs w:val="14"/>
              <w:lang w:val="en-GB"/>
            </w:rPr>
          </w:pPr>
        </w:p>
        <w:p w:rsidR="00A94036" w:rsidRDefault="00A94036">
          <w:pPr>
            <w:pStyle w:val="Footer"/>
            <w:ind w:right="204"/>
            <w:rPr>
              <w:rFonts w:cs="Arial"/>
              <w:smallCaps/>
              <w:color w:val="365F91"/>
              <w:sz w:val="14"/>
              <w:szCs w:val="14"/>
              <w:lang w:val="en-GB"/>
            </w:rPr>
          </w:pPr>
        </w:p>
        <w:p w:rsidR="00A94036" w:rsidRDefault="00A94036">
          <w:pPr>
            <w:pStyle w:val="Footer"/>
            <w:ind w:right="204"/>
            <w:rPr>
              <w:rFonts w:cs="Arial"/>
              <w:smallCaps/>
              <w:color w:val="365F91"/>
              <w:sz w:val="14"/>
              <w:szCs w:val="14"/>
            </w:rPr>
          </w:pPr>
          <w:r>
            <w:rPr>
              <w:rFonts w:cs="Arial"/>
              <w:smallCaps/>
              <w:color w:val="365F91"/>
              <w:sz w:val="14"/>
              <w:szCs w:val="14"/>
            </w:rPr>
            <w:t xml:space="preserve">Sede Legale </w:t>
          </w:r>
        </w:p>
        <w:p w:rsidR="00A94036" w:rsidRDefault="00A94036">
          <w:pPr>
            <w:pStyle w:val="Footer"/>
            <w:ind w:right="204"/>
            <w:rPr>
              <w:rFonts w:cs="Arial"/>
              <w:smallCaps/>
              <w:color w:val="365F91"/>
              <w:sz w:val="14"/>
              <w:szCs w:val="14"/>
            </w:rPr>
          </w:pPr>
          <w:r>
            <w:rPr>
              <w:rFonts w:cs="Arial"/>
              <w:smallCaps/>
              <w:color w:val="365F91"/>
              <w:sz w:val="14"/>
              <w:szCs w:val="14"/>
            </w:rPr>
            <w:t>ed operativa:</w:t>
          </w:r>
        </w:p>
        <w:p w:rsidR="00A94036" w:rsidRDefault="00A94036">
          <w:pPr>
            <w:pStyle w:val="Footer"/>
            <w:rPr>
              <w:rFonts w:cs="Arial"/>
              <w:smallCaps/>
              <w:color w:val="365F91"/>
              <w:sz w:val="14"/>
              <w:szCs w:val="14"/>
            </w:rPr>
          </w:pPr>
          <w:r>
            <w:rPr>
              <w:rFonts w:cs="Arial"/>
              <w:smallCaps/>
              <w:color w:val="365F91"/>
              <w:sz w:val="14"/>
              <w:szCs w:val="14"/>
            </w:rPr>
            <w:t>Via G. Stephenson, 29</w:t>
          </w:r>
        </w:p>
        <w:p w:rsidR="00A94036" w:rsidRDefault="00A94036">
          <w:pPr>
            <w:pStyle w:val="Footer"/>
          </w:pPr>
          <w:r>
            <w:rPr>
              <w:rFonts w:cs="Arial"/>
              <w:smallCaps/>
              <w:color w:val="365F91"/>
              <w:sz w:val="14"/>
              <w:szCs w:val="14"/>
            </w:rPr>
            <w:t>20157  Milano</w:t>
          </w:r>
        </w:p>
      </w:tc>
      <w:tc>
        <w:tcPr>
          <w:tcW w:w="1436" w:type="dxa"/>
        </w:tcPr>
        <w:p w:rsidR="00A94036" w:rsidRDefault="00A94036">
          <w:pPr>
            <w:pStyle w:val="Footer"/>
            <w:snapToGrid w:val="0"/>
            <w:ind w:right="204"/>
            <w:rPr>
              <w:rFonts w:cs="Arial"/>
              <w:smallCaps/>
              <w:color w:val="365F91"/>
              <w:sz w:val="18"/>
              <w:szCs w:val="18"/>
              <w:lang w:val="en-US"/>
            </w:rPr>
          </w:pPr>
        </w:p>
        <w:p w:rsidR="00A94036" w:rsidRDefault="00A94036">
          <w:pPr>
            <w:pStyle w:val="Footer"/>
            <w:rPr>
              <w:rFonts w:cs="Arial"/>
              <w:smallCaps/>
              <w:color w:val="365F91"/>
              <w:sz w:val="14"/>
              <w:szCs w:val="14"/>
              <w:lang w:val="en-GB"/>
            </w:rPr>
          </w:pPr>
        </w:p>
        <w:p w:rsidR="00A94036" w:rsidRDefault="00A94036">
          <w:pPr>
            <w:pStyle w:val="Footer"/>
            <w:rPr>
              <w:rFonts w:cs="Arial"/>
              <w:smallCaps/>
              <w:color w:val="365F91"/>
              <w:sz w:val="14"/>
              <w:szCs w:val="14"/>
              <w:lang w:val="en-GB"/>
            </w:rPr>
          </w:pPr>
        </w:p>
        <w:p w:rsidR="00A94036" w:rsidRDefault="00A94036">
          <w:pPr>
            <w:pStyle w:val="Footer"/>
            <w:rPr>
              <w:rFonts w:cs="Arial"/>
              <w:smallCaps/>
              <w:color w:val="365F91"/>
              <w:sz w:val="14"/>
              <w:szCs w:val="14"/>
              <w:lang w:val="en-GB"/>
            </w:rPr>
          </w:pPr>
        </w:p>
        <w:p w:rsidR="00A94036" w:rsidRDefault="00A94036">
          <w:pPr>
            <w:pStyle w:val="Footer"/>
            <w:rPr>
              <w:rFonts w:cs="Arial"/>
              <w:smallCaps/>
              <w:color w:val="365F91"/>
              <w:sz w:val="14"/>
              <w:szCs w:val="14"/>
              <w:lang w:val="en-GB"/>
            </w:rPr>
          </w:pPr>
          <w:r>
            <w:rPr>
              <w:rFonts w:cs="Arial"/>
              <w:smallCaps/>
              <w:color w:val="365F91"/>
              <w:sz w:val="14"/>
              <w:szCs w:val="14"/>
              <w:lang w:val="en-GB"/>
            </w:rPr>
            <w:t>tel. 02.29062210</w:t>
          </w:r>
        </w:p>
        <w:p w:rsidR="00A94036" w:rsidRDefault="00A94036">
          <w:pPr>
            <w:pStyle w:val="Footer"/>
            <w:rPr>
              <w:rFonts w:cs="Arial"/>
              <w:b/>
              <w:color w:val="365F91"/>
              <w:sz w:val="14"/>
              <w:szCs w:val="14"/>
              <w:lang w:val="en-GB"/>
            </w:rPr>
          </w:pPr>
          <w:r>
            <w:rPr>
              <w:rFonts w:cs="Arial"/>
              <w:smallCaps/>
              <w:color w:val="365F91"/>
              <w:sz w:val="14"/>
              <w:szCs w:val="14"/>
              <w:lang w:val="en-GB"/>
            </w:rPr>
            <w:t>fax 02.62690377</w:t>
          </w:r>
        </w:p>
        <w:p w:rsidR="00A94036" w:rsidRPr="00522E78" w:rsidRDefault="00A94036">
          <w:pPr>
            <w:pStyle w:val="Footer"/>
            <w:rPr>
              <w:lang w:val="es-ES"/>
            </w:rPr>
          </w:pPr>
          <w:r>
            <w:rPr>
              <w:rFonts w:cs="Arial"/>
              <w:b/>
              <w:color w:val="365F91"/>
              <w:sz w:val="14"/>
              <w:szCs w:val="14"/>
              <w:lang w:val="en-GB"/>
            </w:rPr>
            <w:t>www.hqe.it</w:t>
          </w:r>
        </w:p>
      </w:tc>
      <w:tc>
        <w:tcPr>
          <w:tcW w:w="2554" w:type="dxa"/>
        </w:tcPr>
        <w:p w:rsidR="00A94036" w:rsidRDefault="00A94036">
          <w:pPr>
            <w:pStyle w:val="Footer"/>
            <w:ind w:right="701"/>
            <w:rPr>
              <w:sz w:val="10"/>
              <w:szCs w:val="10"/>
              <w:lang w:val="en-US"/>
            </w:rPr>
          </w:pPr>
          <w:r>
            <w:rPr>
              <w:rFonts w:cs="Arial"/>
              <w:smallCaps/>
              <w:color w:val="3366FF"/>
              <w:sz w:val="14"/>
              <w:szCs w:val="14"/>
              <w:lang w:val="en-US" w:eastAsia="x-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66pt" filled="t">
                <v:fill color2="black"/>
                <v:imagedata r:id="rId1" o:title="" croptop="-13f" cropbottom="-13f" cropleft="-7f" cropright="-7f"/>
              </v:shape>
            </w:pict>
          </w:r>
        </w:p>
        <w:p w:rsidR="00A94036" w:rsidRDefault="00A94036">
          <w:pPr>
            <w:jc w:val="center"/>
            <w:rPr>
              <w:sz w:val="10"/>
              <w:szCs w:val="10"/>
              <w:lang w:val="en-US"/>
            </w:rPr>
          </w:pPr>
        </w:p>
        <w:p w:rsidR="00A94036" w:rsidRDefault="00A94036">
          <w:pPr>
            <w:pStyle w:val="Footer"/>
            <w:rPr>
              <w:rFonts w:cs="Arial"/>
              <w:smallCaps/>
              <w:color w:val="3366FF"/>
              <w:sz w:val="14"/>
              <w:szCs w:val="14"/>
              <w:lang w:val="en-US"/>
            </w:rPr>
          </w:pPr>
        </w:p>
      </w:tc>
    </w:tr>
  </w:tbl>
  <w:p w:rsidR="00A94036" w:rsidRDefault="00A94036">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4036" w:rsidRDefault="00A940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116C" w:rsidRDefault="000E116C">
      <w:r>
        <w:separator/>
      </w:r>
    </w:p>
  </w:footnote>
  <w:footnote w:type="continuationSeparator" w:id="0">
    <w:p w:rsidR="000E116C" w:rsidRDefault="000E1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4036" w:rsidRDefault="00A94036">
    <w:pPr>
      <w:jc w:val="right"/>
      <w:rPr>
        <w:lang w:val="x-none" w:eastAsia="x-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35.55pt;margin-top:-8.45pt;width:158.25pt;height:36.65pt;z-index:251658752;mso-wrap-distance-left:9.05pt;mso-wrap-distance-right:9.05pt" o:allowincell="f" filled="t">
          <v:fill opacity="0" color2="black"/>
          <v:imagedata r:id="rId1" o:title="" croptop="-174f" cropbottom="-174f" cropleft="-40f" cropright="-40f"/>
        </v:shape>
      </w:pict>
    </w:r>
  </w:p>
  <w:p w:rsidR="00A94036" w:rsidRDefault="00A94036">
    <w:pPr>
      <w:jc w:val="right"/>
      <w:rPr>
        <w:lang w:val="x-none" w:eastAsia="x-none"/>
      </w:rPr>
    </w:pPr>
  </w:p>
  <w:p w:rsidR="00A94036" w:rsidRDefault="00A94036">
    <w:pPr>
      <w:pStyle w:val="Header"/>
      <w:jc w:val="center"/>
      <w:rPr>
        <w:color w:val="808080"/>
        <w:lang w:val="x-none" w:eastAsia="x-none"/>
      </w:rPr>
    </w:pPr>
    <w:r>
      <w:pict>
        <v:line id="Forma1" o:spid="_x0000_s1025" style="position:absolute;left:0;text-align:left;z-index:-251659776" from="-1pt,7.3pt" to="494pt,7.3pt" o:allowincell="f" strokecolor="#039" strokeweight=".35mm">
          <v:stroke color2="#fc6" joinstyle="miter"/>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4036" w:rsidRDefault="00A940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pStyle w:val="Heading5"/>
      <w:suff w:val="nothing"/>
      <w:lvlText w:val="%5"/>
      <w:lvlJc w:val="left"/>
      <w:pPr>
        <w:tabs>
          <w:tab w:val="num" w:pos="0"/>
        </w:tabs>
        <w:ind w:left="0" w:firstLine="0"/>
      </w:pPr>
    </w:lvl>
    <w:lvl w:ilvl="5">
      <w:start w:val="1"/>
      <w:numFmt w:val="none"/>
      <w:pStyle w:val="Heading6"/>
      <w:suff w:val="nothing"/>
      <w:lvlText w:val="%6"/>
      <w:lvlJc w:val="left"/>
      <w:pPr>
        <w:tabs>
          <w:tab w:val="num" w:pos="0"/>
        </w:tabs>
        <w:ind w:left="0" w:firstLine="0"/>
      </w:pPr>
    </w:lvl>
    <w:lvl w:ilvl="6">
      <w:start w:val="1"/>
      <w:numFmt w:val="none"/>
      <w:pStyle w:val="Heading7"/>
      <w:suff w:val="nothing"/>
      <w:lvlText w:val="%7"/>
      <w:lvlJc w:val="left"/>
      <w:pPr>
        <w:tabs>
          <w:tab w:val="num" w:pos="0"/>
        </w:tabs>
        <w:ind w:left="0" w:firstLine="0"/>
      </w:pPr>
    </w:lvl>
    <w:lvl w:ilvl="7">
      <w:start w:val="1"/>
      <w:numFmt w:val="none"/>
      <w:pStyle w:val="Heading8"/>
      <w:suff w:val="nothing"/>
      <w:lvlText w:val="%8"/>
      <w:lvlJc w:val="left"/>
      <w:pPr>
        <w:tabs>
          <w:tab w:val="num" w:pos="0"/>
        </w:tabs>
        <w:ind w:left="0" w:firstLine="0"/>
      </w:pPr>
    </w:lvl>
    <w:lvl w:ilvl="8">
      <w:start w:val="1"/>
      <w:numFmt w:val="none"/>
      <w:pStyle w:val="Heading9"/>
      <w:suff w:val="nothing"/>
      <w:lvlText w:val="%9"/>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Numeroelenco51"/>
      <w:lvlText w:val="%1."/>
      <w:lvlJc w:val="left"/>
      <w:pPr>
        <w:tabs>
          <w:tab w:val="num" w:pos="1492"/>
        </w:tabs>
        <w:ind w:left="1492" w:hanging="360"/>
      </w:pPr>
    </w:lvl>
  </w:abstractNum>
  <w:abstractNum w:abstractNumId="2" w15:restartNumberingAfterBreak="0">
    <w:nsid w:val="00000003"/>
    <w:multiLevelType w:val="singleLevel"/>
    <w:tmpl w:val="00000003"/>
    <w:name w:val="WW8Num3"/>
    <w:lvl w:ilvl="0">
      <w:start w:val="1"/>
      <w:numFmt w:val="decimal"/>
      <w:pStyle w:val="Numeroelenco41"/>
      <w:lvlText w:val="%1."/>
      <w:lvlJc w:val="left"/>
      <w:pPr>
        <w:tabs>
          <w:tab w:val="num" w:pos="1209"/>
        </w:tabs>
        <w:ind w:left="1209" w:hanging="360"/>
      </w:pPr>
    </w:lvl>
  </w:abstractNum>
  <w:abstractNum w:abstractNumId="3" w15:restartNumberingAfterBreak="0">
    <w:nsid w:val="00000004"/>
    <w:multiLevelType w:val="singleLevel"/>
    <w:tmpl w:val="00000004"/>
    <w:name w:val="WW8Num4"/>
    <w:lvl w:ilvl="0">
      <w:start w:val="1"/>
      <w:numFmt w:val="decimal"/>
      <w:pStyle w:val="Numeroelenco31"/>
      <w:lvlText w:val="%1."/>
      <w:lvlJc w:val="left"/>
      <w:pPr>
        <w:tabs>
          <w:tab w:val="num" w:pos="926"/>
        </w:tabs>
        <w:ind w:left="926" w:hanging="360"/>
      </w:pPr>
    </w:lvl>
  </w:abstractNum>
  <w:abstractNum w:abstractNumId="4" w15:restartNumberingAfterBreak="0">
    <w:nsid w:val="00000005"/>
    <w:multiLevelType w:val="singleLevel"/>
    <w:tmpl w:val="00000005"/>
    <w:name w:val="WW8Num5"/>
    <w:lvl w:ilvl="0">
      <w:start w:val="1"/>
      <w:numFmt w:val="decimal"/>
      <w:pStyle w:val="Numeroelenco21"/>
      <w:lvlText w:val="%1."/>
      <w:lvlJc w:val="left"/>
      <w:pPr>
        <w:tabs>
          <w:tab w:val="num" w:pos="643"/>
        </w:tabs>
        <w:ind w:left="643" w:hanging="360"/>
      </w:pPr>
    </w:lvl>
  </w:abstractNum>
  <w:abstractNum w:abstractNumId="5" w15:restartNumberingAfterBreak="0">
    <w:nsid w:val="00000006"/>
    <w:multiLevelType w:val="singleLevel"/>
    <w:tmpl w:val="00000006"/>
    <w:name w:val="WW8Num6"/>
    <w:lvl w:ilvl="0">
      <w:start w:val="1"/>
      <w:numFmt w:val="bullet"/>
      <w:pStyle w:val="Puntoelenco51"/>
      <w:lvlText w:val=""/>
      <w:lvlJc w:val="left"/>
      <w:pPr>
        <w:tabs>
          <w:tab w:val="num" w:pos="1492"/>
        </w:tabs>
        <w:ind w:left="1492" w:hanging="360"/>
      </w:pPr>
      <w:rPr>
        <w:rFonts w:ascii="Symbol" w:hAnsi="Symbol" w:cs="Symbol"/>
      </w:rPr>
    </w:lvl>
  </w:abstractNum>
  <w:abstractNum w:abstractNumId="6" w15:restartNumberingAfterBreak="0">
    <w:nsid w:val="00000007"/>
    <w:multiLevelType w:val="singleLevel"/>
    <w:tmpl w:val="00000007"/>
    <w:name w:val="WW8Num7"/>
    <w:lvl w:ilvl="0">
      <w:start w:val="1"/>
      <w:numFmt w:val="bullet"/>
      <w:pStyle w:val="Puntoelenco41"/>
      <w:lvlText w:val=""/>
      <w:lvlJc w:val="left"/>
      <w:pPr>
        <w:tabs>
          <w:tab w:val="num" w:pos="1209"/>
        </w:tabs>
        <w:ind w:left="1209" w:hanging="360"/>
      </w:pPr>
      <w:rPr>
        <w:rFonts w:ascii="Symbol" w:hAnsi="Symbol" w:cs="Symbol"/>
      </w:rPr>
    </w:lvl>
  </w:abstractNum>
  <w:abstractNum w:abstractNumId="7" w15:restartNumberingAfterBreak="0">
    <w:nsid w:val="00000008"/>
    <w:multiLevelType w:val="singleLevel"/>
    <w:tmpl w:val="00000008"/>
    <w:name w:val="WW8Num8"/>
    <w:lvl w:ilvl="0">
      <w:start w:val="1"/>
      <w:numFmt w:val="bullet"/>
      <w:pStyle w:val="Puntoelenco31"/>
      <w:lvlText w:val=""/>
      <w:lvlJc w:val="left"/>
      <w:pPr>
        <w:tabs>
          <w:tab w:val="num" w:pos="926"/>
        </w:tabs>
        <w:ind w:left="926" w:hanging="360"/>
      </w:pPr>
      <w:rPr>
        <w:rFonts w:ascii="Symbol" w:hAnsi="Symbol" w:cs="Symbol"/>
      </w:rPr>
    </w:lvl>
  </w:abstractNum>
  <w:abstractNum w:abstractNumId="8" w15:restartNumberingAfterBreak="0">
    <w:nsid w:val="00000009"/>
    <w:multiLevelType w:val="singleLevel"/>
    <w:tmpl w:val="00000009"/>
    <w:name w:val="WW8Num9"/>
    <w:lvl w:ilvl="0">
      <w:start w:val="1"/>
      <w:numFmt w:val="bullet"/>
      <w:pStyle w:val="Puntoelenco21"/>
      <w:lvlText w:val=""/>
      <w:lvlJc w:val="left"/>
      <w:pPr>
        <w:tabs>
          <w:tab w:val="num" w:pos="643"/>
        </w:tabs>
        <w:ind w:left="643" w:hanging="360"/>
      </w:pPr>
      <w:rPr>
        <w:rFonts w:ascii="Symbol" w:hAnsi="Symbol" w:cs="Symbol"/>
      </w:rPr>
    </w:lvl>
  </w:abstractNum>
  <w:abstractNum w:abstractNumId="9" w15:restartNumberingAfterBreak="0">
    <w:nsid w:val="0000000A"/>
    <w:multiLevelType w:val="singleLevel"/>
    <w:tmpl w:val="0000000A"/>
    <w:name w:val="WW8Num10"/>
    <w:lvl w:ilvl="0">
      <w:start w:val="1"/>
      <w:numFmt w:val="decimal"/>
      <w:pStyle w:val="Numeroelenco1"/>
      <w:lvlText w:val="%1."/>
      <w:lvlJc w:val="left"/>
      <w:pPr>
        <w:tabs>
          <w:tab w:val="num" w:pos="360"/>
        </w:tabs>
        <w:ind w:left="360" w:hanging="360"/>
      </w:pPr>
    </w:lvl>
  </w:abstractNum>
  <w:abstractNum w:abstractNumId="10" w15:restartNumberingAfterBreak="0">
    <w:nsid w:val="0000000B"/>
    <w:multiLevelType w:val="singleLevel"/>
    <w:tmpl w:val="0000000B"/>
    <w:name w:val="WW8Num11"/>
    <w:lvl w:ilvl="0">
      <w:start w:val="1"/>
      <w:numFmt w:val="bullet"/>
      <w:pStyle w:val="Puntoelenco1"/>
      <w:lvlText w:val=""/>
      <w:lvlJc w:val="left"/>
      <w:pPr>
        <w:tabs>
          <w:tab w:val="num" w:pos="360"/>
        </w:tabs>
        <w:ind w:left="360" w:hanging="360"/>
      </w:pPr>
      <w:rPr>
        <w:rFonts w:ascii="Symbol" w:hAnsi="Symbol" w:cs="Symbol"/>
      </w:rPr>
    </w:lvl>
  </w:abstractNum>
  <w:abstractNum w:abstractNumId="11" w15:restartNumberingAfterBreak="0">
    <w:nsid w:val="486057B7"/>
    <w:multiLevelType w:val="hybridMultilevel"/>
    <w:tmpl w:val="A580C342"/>
    <w:lvl w:ilvl="0" w:tplc="7C02E116">
      <w:numFmt w:val="bullet"/>
      <w:lvlText w:val="-"/>
      <w:lvlJc w:val="left"/>
      <w:pPr>
        <w:ind w:left="720" w:hanging="360"/>
      </w:pPr>
      <w:rPr>
        <w:rFonts w:ascii="Bookman Old Style" w:eastAsia="SimSun" w:hAnsi="Bookman Old Style"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01B1"/>
    <w:rsid w:val="00031579"/>
    <w:rsid w:val="000B7797"/>
    <w:rsid w:val="000E116C"/>
    <w:rsid w:val="00121A6B"/>
    <w:rsid w:val="00214A0B"/>
    <w:rsid w:val="00270232"/>
    <w:rsid w:val="00312B3E"/>
    <w:rsid w:val="004165DB"/>
    <w:rsid w:val="00522E78"/>
    <w:rsid w:val="005B69EB"/>
    <w:rsid w:val="006B551D"/>
    <w:rsid w:val="007411F7"/>
    <w:rsid w:val="00817C8D"/>
    <w:rsid w:val="00834863"/>
    <w:rsid w:val="00A94036"/>
    <w:rsid w:val="00BD2C56"/>
    <w:rsid w:val="00CD1955"/>
    <w:rsid w:val="00D35F74"/>
    <w:rsid w:val="00D85BE5"/>
    <w:rsid w:val="00DB01B1"/>
    <w:rsid w:val="00E451A9"/>
    <w:rsid w:val="00EB2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15:chartTrackingRefBased/>
  <w15:docId w15:val="{C616AD99-69F9-47EA-B2C0-C8AF3A32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it-IT" w:eastAsia="zh-CN"/>
    </w:rPr>
  </w:style>
  <w:style w:type="paragraph" w:styleId="Heading1">
    <w:name w:val="heading 1"/>
    <w:basedOn w:val="Normal"/>
    <w:next w:val="Normal"/>
    <w:qFormat/>
    <w:pPr>
      <w:keepNext/>
      <w:numPr>
        <w:numId w:val="1"/>
      </w:numPr>
      <w:jc w:val="center"/>
      <w:outlineLvl w:val="0"/>
    </w:pPr>
    <w:rPr>
      <w:rFonts w:ascii="Prestige Elite" w:hAnsi="Prestige Elite" w:cs="Prestige Elite"/>
      <w:sz w:val="32"/>
    </w:rPr>
  </w:style>
  <w:style w:type="paragraph" w:styleId="Heading2">
    <w:name w:val="heading 2"/>
    <w:basedOn w:val="Normal"/>
    <w:next w:val="Normal"/>
    <w:qFormat/>
    <w:pPr>
      <w:keepNext/>
      <w:numPr>
        <w:ilvl w:val="1"/>
        <w:numId w:val="1"/>
      </w:numPr>
      <w:jc w:val="both"/>
      <w:outlineLvl w:val="1"/>
    </w:pPr>
    <w:rPr>
      <w:b/>
      <w:bCs/>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1z0">
    <w:name w:val="WW8Num11z0"/>
    <w:rPr>
      <w:rFonts w:ascii="Symbol" w:hAnsi="Symbol" w:cs="Symbol"/>
    </w:rPr>
  </w:style>
  <w:style w:type="character" w:customStyle="1" w:styleId="Carpredefinitoparagrafo2">
    <w:name w:val="Car. predefinito paragrafo2"/>
  </w:style>
  <w:style w:type="character" w:customStyle="1" w:styleId="WW8Num5z0">
    <w:name w:val="WW8Num5z0"/>
    <w:rPr>
      <w:rFonts w:ascii="Symbol" w:hAnsi="Symbol" w:cs="Symbol"/>
    </w:rPr>
  </w:style>
  <w:style w:type="character" w:customStyle="1" w:styleId="WW8Num10z0">
    <w:name w:val="WW8Num10z0"/>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Technic"/>
    </w:rPr>
  </w:style>
  <w:style w:type="character" w:customStyle="1" w:styleId="WW8Num12z2">
    <w:name w:val="WW8Num12z2"/>
    <w:rPr>
      <w:rFonts w:ascii="Wingdings" w:hAnsi="Wingdings" w:cs="Wingdings"/>
    </w:rPr>
  </w:style>
  <w:style w:type="character" w:customStyle="1" w:styleId="WW8Num13z0">
    <w:name w:val="WW8Num13z0"/>
    <w:rPr>
      <w:rFonts w:ascii="Times New Roman" w:eastAsia="Times New Roman" w:hAnsi="Times New Roman" w:cs="Times New Roman"/>
    </w:rPr>
  </w:style>
  <w:style w:type="character" w:customStyle="1" w:styleId="WW8Num13z1">
    <w:name w:val="WW8Num13z1"/>
    <w:rPr>
      <w:rFonts w:ascii="Courier New" w:hAnsi="Courier New" w:cs="Technic"/>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ascii="Times New Roman" w:eastAsia="Times New Roman" w:hAnsi="Times New Roman" w:cs="Times New Roman"/>
    </w:rPr>
  </w:style>
  <w:style w:type="character" w:customStyle="1" w:styleId="WW8Num14z1">
    <w:name w:val="WW8Num14z1"/>
    <w:rPr>
      <w:rFonts w:ascii="Courier New" w:hAnsi="Courier New" w:cs="Technic"/>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style>
  <w:style w:type="character" w:customStyle="1" w:styleId="WW8Num16z0">
    <w:name w:val="WW8Num16z0"/>
  </w:style>
  <w:style w:type="character" w:customStyle="1" w:styleId="WW8Num16z1">
    <w:name w:val="WW8Num16z1"/>
    <w:rPr>
      <w:rFonts w:ascii="Courier New" w:hAnsi="Courier New" w:cs="Technic"/>
    </w:rPr>
  </w:style>
  <w:style w:type="character" w:customStyle="1" w:styleId="WW8Num16z2">
    <w:name w:val="WW8Num16z2"/>
    <w:rPr>
      <w:rFonts w:ascii="Wingdings" w:hAnsi="Wingdings" w:cs="Wingdings"/>
    </w:rPr>
  </w:style>
  <w:style w:type="character" w:customStyle="1" w:styleId="WW8Num16z3">
    <w:name w:val="WW8Num16z3"/>
    <w:rPr>
      <w:rFonts w:ascii="Symbol" w:hAnsi="Symbol" w:cs="Symbol"/>
    </w:rPr>
  </w:style>
  <w:style w:type="character" w:customStyle="1" w:styleId="WW8Num17z0">
    <w:name w:val="WW8Num17z0"/>
    <w:rPr>
      <w:rFonts w:ascii="Calibri" w:eastAsia="Calibri" w:hAnsi="Calibri" w:cs="Calibri"/>
      <w:w w:val="100"/>
      <w:sz w:val="22"/>
      <w:szCs w:val="22"/>
      <w:lang w:val="it-IT" w:bidi="ar-SA"/>
    </w:rPr>
  </w:style>
  <w:style w:type="character" w:customStyle="1" w:styleId="WW8Num17z1">
    <w:name w:val="WW8Num17z1"/>
    <w:rPr>
      <w:lang w:val="it-IT" w:bidi="ar-SA"/>
    </w:rPr>
  </w:style>
  <w:style w:type="character" w:customStyle="1" w:styleId="WW8Num19z0">
    <w:name w:val="WW8Num19z0"/>
    <w:rPr>
      <w:rFonts w:ascii="Technic" w:hAnsi="Technic" w:cs="Technic"/>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WW8Num20z0">
    <w:name w:val="WW8Num20z0"/>
    <w:rPr>
      <w:rFonts w:ascii="Symbol" w:hAnsi="Symbol" w:cs="Symbol"/>
    </w:rPr>
  </w:style>
  <w:style w:type="character" w:customStyle="1" w:styleId="WW8Num20z1">
    <w:name w:val="WW8Num20z1"/>
    <w:rPr>
      <w:rFonts w:ascii="Courier New" w:hAnsi="Courier New" w:cs="Technic"/>
    </w:rPr>
  </w:style>
  <w:style w:type="character" w:customStyle="1" w:styleId="WW8Num20z2">
    <w:name w:val="WW8Num20z2"/>
    <w:rPr>
      <w:rFonts w:ascii="Wingdings" w:hAnsi="Wingdings" w:cs="Wingdings"/>
    </w:rPr>
  </w:style>
  <w:style w:type="character" w:customStyle="1" w:styleId="WW8Num21z0">
    <w:name w:val="WW8Num21z0"/>
    <w:rPr>
      <w:rFonts w:ascii="Symbol" w:hAnsi="Symbol" w:cs="Symbol"/>
    </w:rPr>
  </w:style>
  <w:style w:type="character" w:customStyle="1" w:styleId="WW8Num21z1">
    <w:name w:val="WW8Num21z1"/>
    <w:rPr>
      <w:rFonts w:ascii="Courier New" w:hAnsi="Courier New" w:cs="Technic"/>
    </w:rPr>
  </w:style>
  <w:style w:type="character" w:customStyle="1" w:styleId="WW8Num21z2">
    <w:name w:val="WW8Num21z2"/>
    <w:rPr>
      <w:rFonts w:ascii="Wingdings" w:hAnsi="Wingdings" w:cs="Wingdings"/>
    </w:rPr>
  </w:style>
  <w:style w:type="character" w:customStyle="1" w:styleId="WW8Num23z0">
    <w:name w:val="WW8Num23z0"/>
    <w:rPr>
      <w:rFonts w:ascii="Arial" w:eastAsia="Times New Roman" w:hAnsi="Arial" w:cs="Technic"/>
    </w:rPr>
  </w:style>
  <w:style w:type="character" w:customStyle="1" w:styleId="WW8Num23z1">
    <w:name w:val="WW8Num23z1"/>
    <w:rPr>
      <w:rFonts w:ascii="Courier New" w:hAnsi="Courier New" w:cs="Technic"/>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Symbol" w:hAnsi="Symbol" w:cs="Symbol"/>
    </w:rPr>
  </w:style>
  <w:style w:type="character" w:customStyle="1" w:styleId="WW8Num24z2">
    <w:name w:val="WW8Num24z2"/>
    <w:rPr>
      <w:rFonts w:ascii="Wingdings" w:hAnsi="Wingdings" w:cs="Wingdings"/>
    </w:rPr>
  </w:style>
  <w:style w:type="character" w:customStyle="1" w:styleId="WW8Num24z4">
    <w:name w:val="WW8Num24z4"/>
    <w:rPr>
      <w:rFonts w:ascii="Courier New" w:hAnsi="Courier New" w:cs="Technic"/>
    </w:rPr>
  </w:style>
  <w:style w:type="character" w:customStyle="1" w:styleId="Carpredefinitoparagrafo1">
    <w:name w:val="Car. predefinito paragrafo1"/>
  </w:style>
  <w:style w:type="character" w:styleId="Hyperlink">
    <w:name w:val="Hyperlink"/>
    <w:rPr>
      <w:color w:val="0000FF"/>
      <w:u w:val="single"/>
    </w:rPr>
  </w:style>
  <w:style w:type="character" w:customStyle="1" w:styleId="apple-style-span">
    <w:name w:val="apple-style-span"/>
    <w:basedOn w:val="Carpredefinitoparagrafo1"/>
  </w:style>
  <w:style w:type="character" w:customStyle="1" w:styleId="TestonotaapidipaginaCarattere">
    <w:name w:val="Testo nota a piè di pagina Carattere"/>
  </w:style>
  <w:style w:type="character" w:customStyle="1" w:styleId="Caratterinotaapidipagina">
    <w:name w:val="Caratteri nota a piè di pagina"/>
    <w:rPr>
      <w:vertAlign w:val="superscript"/>
    </w:rPr>
  </w:style>
  <w:style w:type="character" w:customStyle="1" w:styleId="TitoloCarattere">
    <w:name w:val="Titolo Carattere"/>
    <w:rPr>
      <w:rFonts w:ascii="Arial" w:hAnsi="Arial" w:cs="Arial"/>
      <w:b/>
      <w:bCs/>
      <w:kern w:val="2"/>
      <w:sz w:val="32"/>
      <w:szCs w:val="32"/>
    </w:rPr>
  </w:style>
  <w:style w:type="character" w:customStyle="1" w:styleId="RientrocorpodeltestoCarattere">
    <w:name w:val="Rientro corpo del testo Carattere"/>
    <w:rPr>
      <w:sz w:val="24"/>
      <w:szCs w:val="24"/>
    </w:rPr>
  </w:style>
  <w:style w:type="character" w:customStyle="1" w:styleId="ListLabel1">
    <w:name w:val="ListLabel 1"/>
    <w:rPr>
      <w:color w:val="FFFFFF"/>
      <w:spacing w:val="-5"/>
      <w:sz w:val="18"/>
      <w:szCs w:val="18"/>
    </w:rPr>
  </w:style>
  <w:style w:type="paragraph" w:customStyle="1" w:styleId="Titolo2">
    <w:name w:val="Titolo2"/>
    <w:basedOn w:val="Normal"/>
    <w:next w:val="BodyText"/>
    <w:pPr>
      <w:keepNext/>
      <w:spacing w:before="240" w:after="120"/>
    </w:pPr>
    <w:rPr>
      <w:rFonts w:ascii="Liberation Sans" w:eastAsia="Microsoft YaHei" w:hAnsi="Liberation Sans" w:cs="Arial Unicode MS"/>
      <w:sz w:val="28"/>
      <w:szCs w:val="28"/>
    </w:rPr>
  </w:style>
  <w:style w:type="paragraph" w:styleId="BodyText">
    <w:name w:val="Body Text"/>
    <w:basedOn w:val="Normal"/>
    <w:pPr>
      <w:jc w:val="both"/>
    </w:pPr>
  </w:style>
  <w:style w:type="paragraph" w:styleId="List">
    <w:name w:val="List"/>
    <w:basedOn w:val="Normal"/>
    <w:pPr>
      <w:ind w:left="283" w:hanging="283"/>
    </w:pPr>
  </w:style>
  <w:style w:type="paragraph" w:styleId="Caption">
    <w:name w:val="caption"/>
    <w:basedOn w:val="Normal"/>
    <w:qFormat/>
    <w:pPr>
      <w:suppressLineNumbers/>
      <w:spacing w:before="120" w:after="120"/>
    </w:pPr>
    <w:rPr>
      <w:rFonts w:cs="Arial Unicode MS"/>
      <w:i/>
      <w:iCs/>
    </w:rPr>
  </w:style>
  <w:style w:type="paragraph" w:customStyle="1" w:styleId="Indice">
    <w:name w:val="Indice"/>
    <w:basedOn w:val="Normal"/>
    <w:pPr>
      <w:suppressLineNumbers/>
    </w:pPr>
    <w:rPr>
      <w:rFonts w:cs="Arial Unicode MS"/>
    </w:rPr>
  </w:style>
  <w:style w:type="paragraph" w:customStyle="1" w:styleId="caption1">
    <w:name w:val="caption1"/>
    <w:basedOn w:val="Normal"/>
    <w:pPr>
      <w:suppressLineNumbers/>
      <w:spacing w:before="120" w:after="120"/>
    </w:pPr>
    <w:rPr>
      <w:rFonts w:cs="Arial Unicode MS"/>
      <w:i/>
      <w:iCs/>
    </w:rPr>
  </w:style>
  <w:style w:type="paragraph" w:customStyle="1" w:styleId="caption11">
    <w:name w:val="caption11"/>
    <w:basedOn w:val="Normal"/>
    <w:next w:val="Normal"/>
    <w:pPr>
      <w:spacing w:before="120" w:after="120"/>
    </w:pPr>
    <w:rPr>
      <w:b/>
      <w:bCs/>
      <w:sz w:val="20"/>
      <w:szCs w:val="20"/>
    </w:rPr>
  </w:style>
  <w:style w:type="paragraph" w:customStyle="1" w:styleId="Titolo1">
    <w:name w:val="Titolo1"/>
    <w:basedOn w:val="Normal"/>
    <w:next w:val="BodyText"/>
    <w:pPr>
      <w:spacing w:before="240" w:after="60"/>
      <w:jc w:val="center"/>
      <w:outlineLvl w:val="0"/>
    </w:pPr>
    <w:rPr>
      <w:rFonts w:ascii="Arial" w:hAnsi="Arial" w:cs="Arial"/>
      <w:b/>
      <w:bCs/>
      <w:kern w:val="2"/>
      <w:sz w:val="32"/>
      <w:szCs w:val="32"/>
    </w:rPr>
  </w:style>
  <w:style w:type="paragraph" w:customStyle="1" w:styleId="Intestazioneepidipagina">
    <w:name w:val="Intestazione e piè di pagina"/>
    <w:basedOn w:val="Normal"/>
    <w:pPr>
      <w:suppressLineNumbers/>
      <w:tabs>
        <w:tab w:val="center" w:pos="4819"/>
        <w:tab w:val="right" w:pos="9638"/>
      </w:tabs>
    </w:pPr>
  </w:style>
  <w:style w:type="paragraph" w:styleId="Header">
    <w:name w:val="header"/>
    <w:basedOn w:val="Normal"/>
    <w:pPr>
      <w:tabs>
        <w:tab w:val="center" w:pos="4819"/>
        <w:tab w:val="right" w:pos="9638"/>
      </w:tabs>
    </w:pPr>
  </w:style>
  <w:style w:type="paragraph" w:styleId="Footer">
    <w:name w:val="footer"/>
    <w:basedOn w:val="Normal"/>
    <w:pPr>
      <w:tabs>
        <w:tab w:val="center" w:pos="4819"/>
        <w:tab w:val="right" w:pos="9638"/>
      </w:tabs>
    </w:pPr>
  </w:style>
  <w:style w:type="paragraph" w:styleId="BodyTextIndent">
    <w:name w:val="Body Text Indent"/>
    <w:basedOn w:val="Normal"/>
    <w:pPr>
      <w:spacing w:line="360" w:lineRule="auto"/>
      <w:ind w:left="360"/>
      <w:jc w:val="both"/>
    </w:pPr>
  </w:style>
  <w:style w:type="paragraph" w:customStyle="1" w:styleId="Corpodeltesto21">
    <w:name w:val="Corpo del testo 21"/>
    <w:basedOn w:val="Normal"/>
    <w:pPr>
      <w:spacing w:after="120" w:line="480" w:lineRule="auto"/>
    </w:pPr>
  </w:style>
  <w:style w:type="paragraph" w:customStyle="1" w:styleId="Corpodeltesto31">
    <w:name w:val="Corpo del testo 31"/>
    <w:basedOn w:val="Normal"/>
    <w:pPr>
      <w:spacing w:after="120"/>
    </w:pPr>
    <w:rPr>
      <w:sz w:val="16"/>
      <w:szCs w:val="16"/>
    </w:rPr>
  </w:style>
  <w:style w:type="paragraph" w:customStyle="1" w:styleId="Data1">
    <w:name w:val="Data1"/>
    <w:basedOn w:val="Normal"/>
    <w:next w:val="Normal"/>
  </w:style>
  <w:style w:type="paragraph" w:customStyle="1" w:styleId="Puntoelenco22">
    <w:name w:val="Punto elenco 22"/>
    <w:basedOn w:val="Normal"/>
    <w:pPr>
      <w:ind w:left="566" w:hanging="283"/>
    </w:pPr>
  </w:style>
  <w:style w:type="paragraph" w:customStyle="1" w:styleId="Puntoelenco32">
    <w:name w:val="Punto elenco 32"/>
    <w:basedOn w:val="Normal"/>
    <w:pPr>
      <w:ind w:left="849" w:hanging="283"/>
    </w:pPr>
  </w:style>
  <w:style w:type="paragraph" w:customStyle="1" w:styleId="Puntoelenco42">
    <w:name w:val="Punto elenco 42"/>
    <w:basedOn w:val="Normal"/>
    <w:pPr>
      <w:ind w:left="1132" w:hanging="283"/>
    </w:pPr>
  </w:style>
  <w:style w:type="paragraph" w:customStyle="1" w:styleId="Puntoelenco52">
    <w:name w:val="Punto elenco 52"/>
    <w:basedOn w:val="Normal"/>
    <w:pPr>
      <w:ind w:left="1415" w:hanging="283"/>
    </w:pPr>
  </w:style>
  <w:style w:type="paragraph" w:customStyle="1" w:styleId="Elencocontinua1">
    <w:name w:val="Elenco continua1"/>
    <w:basedOn w:val="Normal"/>
    <w:pPr>
      <w:spacing w:after="120"/>
      <w:ind w:left="283"/>
    </w:pPr>
  </w:style>
  <w:style w:type="paragraph" w:customStyle="1" w:styleId="Elencocontinua21">
    <w:name w:val="Elenco continua 21"/>
    <w:basedOn w:val="Normal"/>
    <w:pPr>
      <w:spacing w:after="120"/>
      <w:ind w:left="566"/>
    </w:pPr>
  </w:style>
  <w:style w:type="paragraph" w:customStyle="1" w:styleId="Elencocontinua31">
    <w:name w:val="Elenco continua 31"/>
    <w:basedOn w:val="Normal"/>
    <w:pPr>
      <w:spacing w:after="120"/>
      <w:ind w:left="849"/>
    </w:pPr>
  </w:style>
  <w:style w:type="paragraph" w:customStyle="1" w:styleId="Elencocontinua41">
    <w:name w:val="Elenco continua 41"/>
    <w:basedOn w:val="Normal"/>
    <w:pPr>
      <w:spacing w:after="120"/>
      <w:ind w:left="1132"/>
    </w:pPr>
  </w:style>
  <w:style w:type="paragraph" w:customStyle="1" w:styleId="Elencocontinua51">
    <w:name w:val="Elenco continua 51"/>
    <w:basedOn w:val="Normal"/>
    <w:pPr>
      <w:spacing w:after="120"/>
      <w:ind w:left="1415"/>
    </w:pPr>
  </w:style>
  <w:style w:type="paragraph" w:styleId="Signature">
    <w:name w:val="Signature"/>
    <w:basedOn w:val="Normal"/>
    <w:pPr>
      <w:ind w:left="4252"/>
    </w:pPr>
  </w:style>
  <w:style w:type="paragraph" w:styleId="E-mailSignature">
    <w:name w:val="E-mail Signature"/>
    <w:basedOn w:val="Normal"/>
  </w:style>
  <w:style w:type="paragraph" w:customStyle="1" w:styleId="Formuladiapertura1">
    <w:name w:val="Formula di apertura1"/>
    <w:basedOn w:val="Normal"/>
    <w:next w:val="Normal"/>
  </w:style>
  <w:style w:type="paragraph" w:customStyle="1" w:styleId="Formuladiapertura2">
    <w:name w:val="Formula di apertura2"/>
    <w:basedOn w:val="Normal"/>
    <w:pPr>
      <w:ind w:left="4252"/>
    </w:p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Index3">
    <w:name w:val="index 3"/>
    <w:basedOn w:val="Normal"/>
    <w:next w:val="Normal"/>
    <w:pPr>
      <w:ind w:left="720" w:hanging="240"/>
    </w:pPr>
  </w:style>
  <w:style w:type="paragraph" w:styleId="TOC4">
    <w:name w:val="toc 4"/>
    <w:basedOn w:val="Normal"/>
    <w:next w:val="Normal"/>
    <w:pPr>
      <w:ind w:left="960" w:hanging="240"/>
    </w:pPr>
  </w:style>
  <w:style w:type="paragraph" w:styleId="TOC5">
    <w:name w:val="toc 5"/>
    <w:basedOn w:val="Normal"/>
    <w:next w:val="Normal"/>
    <w:pPr>
      <w:ind w:left="1200" w:hanging="240"/>
    </w:pPr>
  </w:style>
  <w:style w:type="paragraph" w:styleId="TOC6">
    <w:name w:val="toc 6"/>
    <w:basedOn w:val="Normal"/>
    <w:next w:val="Normal"/>
    <w:pPr>
      <w:ind w:left="1440" w:hanging="240"/>
    </w:pPr>
  </w:style>
  <w:style w:type="paragraph" w:styleId="TOC7">
    <w:name w:val="toc 7"/>
    <w:basedOn w:val="Normal"/>
    <w:next w:val="Normal"/>
    <w:pPr>
      <w:ind w:left="1680" w:hanging="240"/>
    </w:pPr>
  </w:style>
  <w:style w:type="paragraph" w:styleId="TOC8">
    <w:name w:val="toc 8"/>
    <w:basedOn w:val="Normal"/>
    <w:next w:val="Normal"/>
    <w:pPr>
      <w:ind w:left="1920" w:hanging="240"/>
    </w:pPr>
  </w:style>
  <w:style w:type="paragraph" w:styleId="TOC9">
    <w:name w:val="toc 9"/>
    <w:basedOn w:val="Normal"/>
    <w:next w:val="Normal"/>
    <w:pPr>
      <w:ind w:left="2160" w:hanging="240"/>
    </w:pPr>
  </w:style>
  <w:style w:type="paragraph" w:customStyle="1" w:styleId="Indicedellefigure1">
    <w:name w:val="Indice delle figure1"/>
    <w:basedOn w:val="Normal"/>
    <w:next w:val="Normal"/>
    <w:pPr>
      <w:ind w:left="480" w:hanging="480"/>
    </w:pPr>
  </w:style>
  <w:style w:type="paragraph" w:customStyle="1" w:styleId="Indicefonti1">
    <w:name w:val="Indice fonti1"/>
    <w:basedOn w:val="Normal"/>
    <w:next w:val="Normal"/>
    <w:pPr>
      <w:ind w:left="240" w:hanging="240"/>
    </w:pPr>
  </w:style>
  <w:style w:type="paragraph" w:styleId="EnvelopeAddress">
    <w:name w:val="envelope address"/>
    <w:basedOn w:val="Normal"/>
    <w:pPr>
      <w:ind w:left="2880"/>
    </w:pPr>
    <w:rPr>
      <w:rFonts w:ascii="Arial" w:hAnsi="Arial" w:cs="Arial"/>
    </w:rPr>
  </w:style>
  <w:style w:type="paragraph" w:styleId="HTMLAddress">
    <w:name w:val="HTML Address"/>
    <w:basedOn w:val="Normal"/>
    <w:rPr>
      <w:i/>
      <w:iCs/>
    </w:rPr>
  </w:style>
  <w:style w:type="paragraph" w:styleId="EnvelopeReturn">
    <w:name w:val="envelope return"/>
    <w:basedOn w:val="Normal"/>
    <w:rPr>
      <w:rFonts w:ascii="Arial" w:hAnsi="Arial" w:cs="Arial"/>
      <w:sz w:val="20"/>
      <w:szCs w:val="20"/>
    </w:rPr>
  </w:style>
  <w:style w:type="paragraph" w:customStyle="1" w:styleId="Intestazionemessaggio1">
    <w:name w:val="Intestazione messaggio1"/>
    <w:basedOn w:val="Normal"/>
    <w:pPr>
      <w:pBdr>
        <w:top w:val="single" w:sz="6" w:space="1" w:color="000000"/>
        <w:left w:val="single" w:sz="6" w:space="1" w:color="000000"/>
        <w:bottom w:val="single" w:sz="6" w:space="1" w:color="000000"/>
        <w:right w:val="single" w:sz="6" w:space="1" w:color="000000"/>
      </w:pBdr>
      <w:shd w:val="clear" w:color="auto" w:fill="CCCCCC"/>
      <w:ind w:left="1134" w:hanging="1134"/>
    </w:pPr>
    <w:rPr>
      <w:rFonts w:ascii="Arial" w:hAnsi="Arial" w:cs="Arial"/>
    </w:rPr>
  </w:style>
  <w:style w:type="paragraph" w:customStyle="1" w:styleId="Intestazionenota1">
    <w:name w:val="Intestazione nota1"/>
    <w:basedOn w:val="Normal"/>
    <w:next w:val="Normal"/>
  </w:style>
  <w:style w:type="paragraph" w:customStyle="1" w:styleId="Mappadocumento1">
    <w:name w:val="Mappa documento1"/>
    <w:basedOn w:val="Normal"/>
    <w:pPr>
      <w:shd w:val="clear" w:color="auto" w:fill="000080"/>
    </w:pPr>
    <w:rPr>
      <w:rFonts w:ascii="Tahoma" w:hAnsi="Tahoma" w:cs="Tahoma"/>
    </w:rPr>
  </w:style>
  <w:style w:type="paragraph" w:styleId="NormalWeb">
    <w:name w:val="Normal (Web)"/>
    <w:basedOn w:val="Normal"/>
  </w:style>
  <w:style w:type="paragraph" w:customStyle="1" w:styleId="Numeroelenco1">
    <w:name w:val="Numero elenco1"/>
    <w:basedOn w:val="Normal"/>
    <w:pPr>
      <w:numPr>
        <w:numId w:val="10"/>
      </w:numPr>
    </w:pPr>
  </w:style>
  <w:style w:type="paragraph" w:customStyle="1" w:styleId="Numeroelenco21">
    <w:name w:val="Numero elenco 21"/>
    <w:basedOn w:val="Normal"/>
    <w:pPr>
      <w:numPr>
        <w:numId w:val="5"/>
      </w:numPr>
    </w:pPr>
  </w:style>
  <w:style w:type="paragraph" w:customStyle="1" w:styleId="Numeroelenco31">
    <w:name w:val="Numero elenco 31"/>
    <w:basedOn w:val="Normal"/>
    <w:pPr>
      <w:numPr>
        <w:numId w:val="4"/>
      </w:numPr>
    </w:pPr>
  </w:style>
  <w:style w:type="paragraph" w:customStyle="1" w:styleId="Numeroelenco41">
    <w:name w:val="Numero elenco 41"/>
    <w:basedOn w:val="Normal"/>
    <w:pPr>
      <w:numPr>
        <w:numId w:val="3"/>
      </w:numPr>
    </w:pPr>
  </w:style>
  <w:style w:type="paragraph" w:customStyle="1" w:styleId="Numeroelenco51">
    <w:name w:val="Numero elenco 51"/>
    <w:basedOn w:val="Normal"/>
    <w:pPr>
      <w:numPr>
        <w:numId w:val="2"/>
      </w:numPr>
    </w:pPr>
  </w:style>
  <w:style w:type="paragraph" w:styleId="HTMLPreformatted">
    <w:name w:val="HTML Preformatted"/>
    <w:basedOn w:val="Normal"/>
    <w:rPr>
      <w:rFonts w:ascii="Courier New" w:hAnsi="Courier New" w:cs="Courier New"/>
      <w:sz w:val="20"/>
      <w:szCs w:val="20"/>
    </w:rPr>
  </w:style>
  <w:style w:type="paragraph" w:customStyle="1" w:styleId="Primorientrocorpodeltesto1">
    <w:name w:val="Primo rientro corpo del testo1"/>
    <w:basedOn w:val="BodyText"/>
    <w:pPr>
      <w:spacing w:after="120"/>
      <w:ind w:firstLine="210"/>
      <w:jc w:val="left"/>
    </w:pPr>
  </w:style>
  <w:style w:type="paragraph" w:customStyle="1" w:styleId="Primorientrocorpodeltesto21">
    <w:name w:val="Primo rientro corpo del testo 21"/>
    <w:basedOn w:val="BodyTextIndent"/>
    <w:pPr>
      <w:spacing w:after="120" w:line="240" w:lineRule="auto"/>
      <w:ind w:left="283" w:firstLine="210"/>
      <w:jc w:val="left"/>
    </w:pPr>
  </w:style>
  <w:style w:type="paragraph" w:customStyle="1" w:styleId="Puntoelenco1">
    <w:name w:val="Punto elenco1"/>
    <w:basedOn w:val="Normal"/>
    <w:pPr>
      <w:numPr>
        <w:numId w:val="11"/>
      </w:numPr>
    </w:pPr>
  </w:style>
  <w:style w:type="paragraph" w:customStyle="1" w:styleId="Puntoelenco21">
    <w:name w:val="Punto elenco 21"/>
    <w:basedOn w:val="Normal"/>
    <w:pPr>
      <w:numPr>
        <w:numId w:val="9"/>
      </w:numPr>
    </w:pPr>
  </w:style>
  <w:style w:type="paragraph" w:customStyle="1" w:styleId="Puntoelenco31">
    <w:name w:val="Punto elenco 31"/>
    <w:basedOn w:val="Normal"/>
    <w:pPr>
      <w:numPr>
        <w:numId w:val="8"/>
      </w:numPr>
    </w:pPr>
  </w:style>
  <w:style w:type="paragraph" w:customStyle="1" w:styleId="Puntoelenco41">
    <w:name w:val="Punto elenco 41"/>
    <w:basedOn w:val="Normal"/>
    <w:pPr>
      <w:numPr>
        <w:numId w:val="7"/>
      </w:numPr>
    </w:pPr>
  </w:style>
  <w:style w:type="paragraph" w:customStyle="1" w:styleId="Puntoelenco51">
    <w:name w:val="Punto elenco 51"/>
    <w:basedOn w:val="Normal"/>
    <w:pPr>
      <w:numPr>
        <w:numId w:val="6"/>
      </w:numPr>
    </w:pPr>
  </w:style>
  <w:style w:type="paragraph" w:customStyle="1" w:styleId="Rientrocorpodeltesto21">
    <w:name w:val="Rientro corpo del testo 21"/>
    <w:basedOn w:val="Normal"/>
    <w:pPr>
      <w:spacing w:after="120" w:line="480" w:lineRule="auto"/>
      <w:ind w:left="283"/>
    </w:pPr>
  </w:style>
  <w:style w:type="paragraph" w:customStyle="1" w:styleId="Rientrocorpodeltesto31">
    <w:name w:val="Rientro corpo del testo 31"/>
    <w:basedOn w:val="Normal"/>
    <w:pPr>
      <w:spacing w:after="120"/>
      <w:ind w:left="283"/>
    </w:pPr>
    <w:rPr>
      <w:sz w:val="16"/>
      <w:szCs w:val="16"/>
    </w:rPr>
  </w:style>
  <w:style w:type="paragraph" w:customStyle="1" w:styleId="Rientronormale1">
    <w:name w:val="Rientro normale1"/>
    <w:basedOn w:val="Normal"/>
    <w:pPr>
      <w:ind w:left="708"/>
    </w:pPr>
  </w:style>
  <w:style w:type="paragraph" w:styleId="TOC1">
    <w:name w:val="toc 1"/>
    <w:basedOn w:val="Normal"/>
    <w:next w:val="Normal"/>
  </w:style>
  <w:style w:type="paragraph" w:styleId="TOC2">
    <w:name w:val="toc 2"/>
    <w:basedOn w:val="Normal"/>
    <w:next w:val="Normal"/>
    <w:pPr>
      <w:ind w:left="240"/>
    </w:pPr>
  </w:style>
  <w:style w:type="paragraph" w:styleId="TOC3">
    <w:name w:val="toc 3"/>
    <w:basedOn w:val="Normal"/>
    <w:next w:val="Normal"/>
    <w:pPr>
      <w:ind w:left="480"/>
    </w:pPr>
  </w:style>
  <w:style w:type="paragraph" w:customStyle="1" w:styleId="Sommario41">
    <w:name w:val="Sommario 41"/>
    <w:basedOn w:val="Normal"/>
    <w:next w:val="Normal"/>
    <w:pPr>
      <w:ind w:left="720"/>
    </w:pPr>
  </w:style>
  <w:style w:type="paragraph" w:customStyle="1" w:styleId="Sommario51">
    <w:name w:val="Sommario 51"/>
    <w:basedOn w:val="Normal"/>
    <w:next w:val="Normal"/>
    <w:pPr>
      <w:ind w:left="960"/>
    </w:pPr>
  </w:style>
  <w:style w:type="paragraph" w:customStyle="1" w:styleId="Sommario61">
    <w:name w:val="Sommario 61"/>
    <w:basedOn w:val="Normal"/>
    <w:next w:val="Normal"/>
    <w:pPr>
      <w:ind w:left="1200"/>
    </w:pPr>
  </w:style>
  <w:style w:type="paragraph" w:customStyle="1" w:styleId="Sommario71">
    <w:name w:val="Sommario 71"/>
    <w:basedOn w:val="Normal"/>
    <w:next w:val="Normal"/>
    <w:pPr>
      <w:ind w:left="1440"/>
    </w:pPr>
  </w:style>
  <w:style w:type="paragraph" w:customStyle="1" w:styleId="Sommario81">
    <w:name w:val="Sommario 81"/>
    <w:basedOn w:val="Normal"/>
    <w:next w:val="Normal"/>
    <w:pPr>
      <w:ind w:left="1680"/>
    </w:pPr>
  </w:style>
  <w:style w:type="paragraph" w:customStyle="1" w:styleId="Sommario91">
    <w:name w:val="Sommario 91"/>
    <w:basedOn w:val="Normal"/>
    <w:next w:val="Normal"/>
    <w:pPr>
      <w:ind w:left="1920"/>
    </w:pPr>
  </w:style>
  <w:style w:type="paragraph" w:styleId="Subtitle">
    <w:name w:val="Subtitle"/>
    <w:basedOn w:val="Normal"/>
    <w:next w:val="BodyText"/>
    <w:qFormat/>
    <w:pPr>
      <w:spacing w:after="60"/>
      <w:jc w:val="center"/>
      <w:outlineLvl w:val="1"/>
    </w:pPr>
    <w:rPr>
      <w:rFonts w:ascii="Arial" w:hAnsi="Arial" w:cs="Arial"/>
    </w:rPr>
  </w:style>
  <w:style w:type="paragraph" w:customStyle="1" w:styleId="Testocommento1">
    <w:name w:val="Testo commento1"/>
    <w:basedOn w:val="Normal"/>
    <w:rPr>
      <w:sz w:val="20"/>
      <w:szCs w:val="20"/>
    </w:rPr>
  </w:style>
  <w:style w:type="paragraph" w:customStyle="1" w:styleId="Testodelblocco1">
    <w:name w:val="Testo del blocco1"/>
    <w:basedOn w:val="Normal"/>
    <w:pPr>
      <w:spacing w:after="120"/>
      <w:ind w:left="1440" w:right="1440"/>
    </w:pPr>
  </w:style>
  <w:style w:type="paragraph" w:customStyle="1" w:styleId="Testomacro1">
    <w:name w:val="Tes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it-IT" w:eastAsia="zh-CN"/>
    </w:rPr>
  </w:style>
  <w:style w:type="paragraph" w:customStyle="1" w:styleId="Testonormale1">
    <w:name w:val="Testo normale1"/>
    <w:basedOn w:val="Normal"/>
    <w:rPr>
      <w:rFonts w:ascii="Courier New" w:hAnsi="Courier New" w:cs="Courier New"/>
      <w:sz w:val="20"/>
      <w:szCs w:val="20"/>
    </w:rPr>
  </w:style>
  <w:style w:type="paragraph" w:styleId="FootnoteText">
    <w:name w:val="footnote text"/>
    <w:basedOn w:val="Normal"/>
    <w:rPr>
      <w:sz w:val="20"/>
      <w:szCs w:val="20"/>
    </w:rPr>
  </w:style>
  <w:style w:type="paragraph" w:styleId="EndnoteText">
    <w:name w:val="endnote text"/>
    <w:basedOn w:val="Normal"/>
    <w:rPr>
      <w:sz w:val="20"/>
      <w:szCs w:val="20"/>
    </w:rPr>
  </w:style>
  <w:style w:type="paragraph" w:styleId="IndexHeading">
    <w:name w:val="index heading"/>
    <w:basedOn w:val="Normal"/>
    <w:next w:val="Index1"/>
    <w:rPr>
      <w:rFonts w:ascii="Arial" w:hAnsi="Arial" w:cs="Arial"/>
      <w:b/>
      <w:bCs/>
    </w:rPr>
  </w:style>
  <w:style w:type="paragraph" w:customStyle="1" w:styleId="Titoloindicefonti1">
    <w:name w:val="Titolo indice fonti1"/>
    <w:basedOn w:val="Normal"/>
    <w:next w:val="Normal"/>
    <w:pPr>
      <w:spacing w:before="120"/>
    </w:pPr>
    <w:rPr>
      <w:rFonts w:ascii="Arial" w:hAnsi="Arial" w:cs="Arial"/>
      <w:b/>
      <w:bCs/>
    </w:rPr>
  </w:style>
  <w:style w:type="paragraph" w:styleId="BalloonText">
    <w:name w:val="Balloon Text"/>
    <w:basedOn w:val="Normal"/>
    <w:rPr>
      <w:rFonts w:ascii="Tahoma" w:hAnsi="Tahoma" w:cs="Tahoma"/>
      <w:sz w:val="16"/>
      <w:szCs w:val="16"/>
    </w:rPr>
  </w:style>
  <w:style w:type="paragraph" w:customStyle="1" w:styleId="Elencoacolori-Colore11">
    <w:name w:val="Elenco a colori - Colore 11"/>
    <w:basedOn w:val="Normal"/>
    <w:pPr>
      <w:spacing w:after="200" w:line="276" w:lineRule="auto"/>
      <w:ind w:left="720"/>
      <w:contextualSpacing/>
    </w:pPr>
    <w:rPr>
      <w:rFonts w:ascii="Calibri" w:eastAsia="Calibri" w:hAnsi="Calibri" w:cs="Calibri"/>
      <w:sz w:val="22"/>
      <w:szCs w:val="22"/>
    </w:rPr>
  </w:style>
  <w:style w:type="paragraph" w:customStyle="1" w:styleId="Default">
    <w:name w:val="Default"/>
    <w:pPr>
      <w:suppressAutoHyphens/>
      <w:autoSpaceDE w:val="0"/>
    </w:pPr>
    <w:rPr>
      <w:rFonts w:ascii="Arial" w:hAnsi="Arial" w:cs="Arial"/>
      <w:color w:val="000000"/>
      <w:sz w:val="24"/>
      <w:szCs w:val="24"/>
      <w:lang w:val="it-IT" w:eastAsia="ja-JP"/>
    </w:rPr>
  </w:style>
  <w:style w:type="paragraph" w:styleId="ListParagraph">
    <w:name w:val="List Paragraph"/>
    <w:basedOn w:val="Normal"/>
    <w:qFormat/>
    <w:pPr>
      <w:widowControl w:val="0"/>
      <w:autoSpaceDE w:val="0"/>
      <w:ind w:left="972" w:hanging="361"/>
    </w:pPr>
    <w:rPr>
      <w:rFonts w:ascii="Calibri" w:eastAsia="Calibri" w:hAnsi="Calibri" w:cs="Calibri"/>
      <w:sz w:val="22"/>
      <w:szCs w:val="22"/>
    </w:rPr>
  </w:style>
  <w:style w:type="paragraph" w:customStyle="1" w:styleId="TableParagraph">
    <w:name w:val="Table Paragraph"/>
    <w:basedOn w:val="Normal"/>
    <w:pPr>
      <w:widowControl w:val="0"/>
      <w:autoSpaceDE w:val="0"/>
      <w:spacing w:before="8" w:line="256" w:lineRule="exact"/>
      <w:ind w:left="69"/>
    </w:pPr>
    <w:rPr>
      <w:rFonts w:ascii="Calibri" w:eastAsia="Calibri" w:hAnsi="Calibri" w:cs="Calibri"/>
      <w:sz w:val="22"/>
      <w:szCs w:val="22"/>
    </w:rPr>
  </w:style>
  <w:style w:type="paragraph" w:customStyle="1" w:styleId="Contenutotabella">
    <w:name w:val="Contenuto tabella"/>
    <w:basedOn w:val="Normal"/>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user">
    <w:name w:val="Contenuto cornice (user)"/>
    <w:basedOn w:val="Normal"/>
  </w:style>
  <w:style w:type="paragraph" w:customStyle="1" w:styleId="Contenutocornice">
    <w:name w:val="Contenuto cornice"/>
    <w:basedOn w:val="Normal"/>
  </w:style>
  <w:style w:type="paragraph" w:customStyle="1" w:styleId="Title1">
    <w:name w:val="Title1"/>
    <w:basedOn w:val="Normal"/>
    <w:pPr>
      <w:spacing w:before="83"/>
      <w:ind w:right="2"/>
      <w:jc w:val="center"/>
    </w:pPr>
    <w:rPr>
      <w:rFonts w:ascii="Arial" w:eastAsia="Arial" w:hAnsi="Arial" w:cs="Arial"/>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1909</Words>
  <Characters>10885</Characters>
  <Application>Microsoft Office Word</Application>
  <DocSecurity>4</DocSecurity>
  <Lines>90</Lines>
  <Paragraphs>25</Paragraphs>
  <ScaleCrop>false</ScaleCrop>
  <HeadingPairs>
    <vt:vector size="2" baseType="variant">
      <vt:variant>
        <vt:lpstr>Titolo</vt:lpstr>
      </vt:variant>
      <vt:variant>
        <vt:i4>1</vt:i4>
      </vt:variant>
    </vt:vector>
  </HeadingPairs>
  <TitlesOfParts>
    <vt:vector size="1" baseType="lpstr">
      <vt:lpstr>Spett</vt:lpstr>
    </vt:vector>
  </TitlesOfParts>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grasselli</dc:creator>
  <cp:keywords/>
  <cp:lastModifiedBy>cloudconvert_1</cp:lastModifiedBy>
  <cp:revision>2</cp:revision>
  <cp:lastPrinted>2022-07-25T07:36:00Z</cp:lastPrinted>
  <dcterms:created xsi:type="dcterms:W3CDTF">2026-10-15T08:46:00Z</dcterms:created>
  <dcterms:modified xsi:type="dcterms:W3CDTF">2026-10-15T08:46:00Z</dcterms:modified>
</cp:coreProperties>
</file>