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66614" w:rsidRPr="00C66614" w:rsidRDefault="00C66614" w:rsidP="00C66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66614">
        <w:rPr>
          <w:rFonts w:ascii="Times New Roman" w:eastAsia="Times New Roman" w:hAnsi="Times New Roman" w:cs="Times New Roman"/>
          <w:b/>
          <w:bCs/>
          <w:kern w:val="36"/>
          <w:sz w:val="48"/>
          <w:szCs w:val="48"/>
          <w:lang w:eastAsia="it-IT"/>
        </w:rPr>
        <w:t>Report di Transizione Didattica: Dal Rigore Metodologico alla Misura della Materia (L1.7 → L1.8)</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Data:</w:t>
      </w:r>
      <w:r w:rsidRPr="00C66614">
        <w:rPr>
          <w:rFonts w:ascii="Times New Roman" w:eastAsia="Times New Roman" w:hAnsi="Times New Roman" w:cs="Times New Roman"/>
          <w:sz w:val="24"/>
          <w:szCs w:val="24"/>
          <w:lang w:eastAsia="it-IT"/>
        </w:rPr>
        <w:t xml:space="preserve"> 24 Maggio 2024 </w:t>
      </w:r>
      <w:r w:rsidRPr="00C66614">
        <w:rPr>
          <w:rFonts w:ascii="Times New Roman" w:eastAsia="Times New Roman" w:hAnsi="Times New Roman" w:cs="Times New Roman"/>
          <w:b/>
          <w:bCs/>
          <w:sz w:val="24"/>
          <w:szCs w:val="24"/>
          <w:lang w:eastAsia="it-IT"/>
        </w:rPr>
        <w:t>Oggetto:</w:t>
      </w:r>
      <w:r w:rsidRPr="00C66614">
        <w:rPr>
          <w:rFonts w:ascii="Times New Roman" w:eastAsia="Times New Roman" w:hAnsi="Times New Roman" w:cs="Times New Roman"/>
          <w:sz w:val="24"/>
          <w:szCs w:val="24"/>
          <w:lang w:eastAsia="it-IT"/>
        </w:rPr>
        <w:t xml:space="preserve"> Raccordo didattico tra metodo sperimentale e chimica quantitativa </w:t>
      </w:r>
      <w:r w:rsidRPr="00C66614">
        <w:rPr>
          <w:rFonts w:ascii="Times New Roman" w:eastAsia="Times New Roman" w:hAnsi="Times New Roman" w:cs="Times New Roman"/>
          <w:b/>
          <w:bCs/>
          <w:sz w:val="24"/>
          <w:szCs w:val="24"/>
          <w:lang w:eastAsia="it-IT"/>
        </w:rPr>
        <w:t>Settore:</w:t>
      </w:r>
      <w:r w:rsidRPr="00C66614">
        <w:rPr>
          <w:rFonts w:ascii="Times New Roman" w:eastAsia="Times New Roman" w:hAnsi="Times New Roman" w:cs="Times New Roman"/>
          <w:sz w:val="24"/>
          <w:szCs w:val="24"/>
          <w:lang w:eastAsia="it-IT"/>
        </w:rPr>
        <w:t xml:space="preserve"> Trasporti e Logistica (T&amp;L)</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t>1. Sintesi del Raccordo Didattico: L’Evoluzione della Lente Scientifica</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Il presente report definisce il passaggio fondamentale tra l'approccio diagnostico del metodo sperimentale (Lezione 1.7) e la chimica quantitativa introdotta da Antoine Lavoisier (Lezione 1.8).</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Se nella fase precedente l'attenzione è stata posta sullo sviluppo di un "occhio diagnostico" capace di identificare anomalie (es. fumo allo scarico o incrostazioni), è necessario comprendere che la sola osservazione qualitativa ha dei limiti intrinseci. La </w:t>
      </w:r>
      <w:r w:rsidRPr="00C66614">
        <w:rPr>
          <w:rFonts w:ascii="Times New Roman" w:eastAsia="Times New Roman" w:hAnsi="Times New Roman" w:cs="Times New Roman"/>
          <w:b/>
          <w:bCs/>
          <w:sz w:val="24"/>
          <w:szCs w:val="24"/>
          <w:lang w:eastAsia="it-IT"/>
        </w:rPr>
        <w:t>Fase Induttiva</w:t>
      </w:r>
      <w:r w:rsidRPr="00C66614">
        <w:rPr>
          <w:rFonts w:ascii="Times New Roman" w:eastAsia="Times New Roman" w:hAnsi="Times New Roman" w:cs="Times New Roman"/>
          <w:sz w:val="24"/>
          <w:szCs w:val="24"/>
          <w:lang w:eastAsia="it-IT"/>
        </w:rPr>
        <w:t xml:space="preserve"> raggiunge il suo apice di precisione solo quando il dato raccolto cessa di essere descrittivo e diventa quantitativo (espresso in grammi o chilogrammi). In questa transizione, l'occhio diagnostico evolve: la bilancia di Lavoisier diventa lo strumento per "risolvere" ciò che il tecnico ha precedentemente solo "visto".</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Come sottolineato dal matematico Lagrange alla morte di Lavoisier: </w:t>
      </w:r>
      <w:r w:rsidRPr="00C66614">
        <w:rPr>
          <w:rFonts w:ascii="Times New Roman" w:eastAsia="Times New Roman" w:hAnsi="Times New Roman" w:cs="Times New Roman"/>
          <w:i/>
          <w:iCs/>
          <w:sz w:val="24"/>
          <w:szCs w:val="24"/>
          <w:lang w:eastAsia="it-IT"/>
        </w:rPr>
        <w:t>"Ci è voluto solo un momento per tagliare questa testa; ci vorranno cento anni per produrne un'altra uguale"</w:t>
      </w:r>
      <w:r w:rsidRPr="00C66614">
        <w:rPr>
          <w:rFonts w:ascii="Times New Roman" w:eastAsia="Times New Roman" w:hAnsi="Times New Roman" w:cs="Times New Roman"/>
          <w:sz w:val="24"/>
          <w:szCs w:val="24"/>
          <w:lang w:eastAsia="it-IT"/>
        </w:rPr>
        <w:t>. Questo monito evidenzia il valore del rigore scientifico come capitale intellettuale: senza la misura numerica, non esiste certezza operativa nel settore T&amp;L.</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t>2. Consolidamento dell’Occhio Diagnostico: Il Metodo come Protocollo Professionale</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Il metodo sperimentale galileiano costituisce il protocollo operativo d'eccellenza per la risoluzione di problemi tecnici in hangar, in porto o in officina. Per garantire sicurezza ed efficienza, ogni indagine deve rispettare i seguenti criteri di rigore: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7"/>
        <w:gridCol w:w="3474"/>
        <w:gridCol w:w="4621"/>
      </w:tblGrid>
      <w:tr w:rsidR="00C66614" w:rsidRPr="00C66614" w:rsidTr="00C66614">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Criterio di Rigore</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Definizione Tecnica</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Applicazione Pratica nel Settore T&amp;L</w:t>
            </w:r>
          </w:p>
        </w:tc>
      </w:tr>
      <w:tr w:rsidR="00C66614" w:rsidRPr="00C66614" w:rsidTr="00C66614">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Osservabilità</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Il fenomeno deve essere oggettivo, percepibile e documentabile.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Rilevazione di incrostazioni biologiche (</w:t>
            </w:r>
            <w:r w:rsidRPr="00C66614">
              <w:rPr>
                <w:rFonts w:ascii="Times New Roman" w:eastAsia="Times New Roman" w:hAnsi="Times New Roman" w:cs="Times New Roman"/>
                <w:i/>
                <w:iCs/>
                <w:sz w:val="24"/>
                <w:szCs w:val="24"/>
                <w:lang w:eastAsia="it-IT"/>
              </w:rPr>
              <w:t>fouling</w:t>
            </w:r>
            <w:r w:rsidRPr="00C66614">
              <w:rPr>
                <w:rFonts w:ascii="Times New Roman" w:eastAsia="Times New Roman" w:hAnsi="Times New Roman" w:cs="Times New Roman"/>
                <w:sz w:val="24"/>
                <w:szCs w:val="24"/>
                <w:lang w:eastAsia="it-IT"/>
              </w:rPr>
              <w:t>) sulla carena o fumo anomalo.</w:t>
            </w:r>
          </w:p>
        </w:tc>
      </w:tr>
      <w:tr w:rsidR="00C66614" w:rsidRPr="00C66614" w:rsidTr="00C66614">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Misurabilità</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Traduzione dell'osservazione in dati numerici precisi.</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Misurazione delle emissioni di CO_2/km o delle impurità nel carburante in </w:t>
            </w:r>
            <w:r w:rsidRPr="00C66614">
              <w:rPr>
                <w:rFonts w:ascii="Times New Roman" w:eastAsia="Times New Roman" w:hAnsi="Times New Roman" w:cs="Times New Roman"/>
                <w:b/>
                <w:bCs/>
                <w:sz w:val="24"/>
                <w:szCs w:val="24"/>
                <w:lang w:eastAsia="it-IT"/>
              </w:rPr>
              <w:t>ppm</w:t>
            </w:r>
            <w:r w:rsidRPr="00C66614">
              <w:rPr>
                <w:rFonts w:ascii="Times New Roman" w:eastAsia="Times New Roman" w:hAnsi="Times New Roman" w:cs="Times New Roman"/>
                <w:sz w:val="24"/>
                <w:szCs w:val="24"/>
                <w:lang w:eastAsia="it-IT"/>
              </w:rPr>
              <w:t xml:space="preserve"> (parti per milione).</w:t>
            </w:r>
          </w:p>
        </w:tc>
      </w:tr>
      <w:tr w:rsidR="00C66614" w:rsidRPr="00C66614" w:rsidTr="00C66614">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Ripetibilità</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Stabilità dei risultati ottenuti in condizioni identiche.</w:t>
            </w:r>
          </w:p>
        </w:tc>
        <w:tc>
          <w:tcPr>
            <w:tcW w:w="0" w:type="auto"/>
            <w:tcBorders>
              <w:top w:val="outset" w:sz="6" w:space="0" w:color="auto"/>
              <w:left w:val="outset" w:sz="6" w:space="0" w:color="auto"/>
              <w:bottom w:val="outset" w:sz="6" w:space="0" w:color="auto"/>
              <w:right w:val="outset" w:sz="6" w:space="0" w:color="auto"/>
            </w:tcBorders>
            <w:vAlign w:val="center"/>
            <w:hideMark/>
          </w:tcPr>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Esecuzione di </w:t>
            </w:r>
            <w:r w:rsidRPr="00C66614">
              <w:rPr>
                <w:rFonts w:ascii="Times New Roman" w:eastAsia="Times New Roman" w:hAnsi="Times New Roman" w:cs="Times New Roman"/>
                <w:b/>
                <w:bCs/>
                <w:sz w:val="24"/>
                <w:szCs w:val="24"/>
                <w:lang w:eastAsia="it-IT"/>
              </w:rPr>
              <w:t>test in camera climatica</w:t>
            </w:r>
            <w:r w:rsidRPr="00C66614">
              <w:rPr>
                <w:rFonts w:ascii="Times New Roman" w:eastAsia="Times New Roman" w:hAnsi="Times New Roman" w:cs="Times New Roman"/>
                <w:sz w:val="24"/>
                <w:szCs w:val="24"/>
                <w:lang w:eastAsia="it-IT"/>
              </w:rPr>
              <w:t xml:space="preserve"> per valutare la degradazione di elastomeri e guarnizioni.</w:t>
            </w:r>
          </w:p>
        </w:tc>
      </w:tr>
    </w:tbl>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Il Focus Operativo:</w:t>
      </w:r>
      <w:r w:rsidRPr="00C66614">
        <w:rPr>
          <w:rFonts w:ascii="Times New Roman" w:eastAsia="Times New Roman" w:hAnsi="Times New Roman" w:cs="Times New Roman"/>
          <w:sz w:val="24"/>
          <w:szCs w:val="24"/>
          <w:lang w:eastAsia="it-IT"/>
        </w:rPr>
        <w:t xml:space="preserve"> L'isolamento delle variabili (distinguendo tra variabile indipendente, dipendente e di controllo) è la condizione necessaria per il passaggio alla misurazione quantitativa. Solo controllando l'ambiente sperimentale il dato della bilancia acquisisce valore diagnostico e predittivo.</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lastRenderedPageBreak/>
        <w:t>3. La Rivoluzione Quantitativa: Antoine Lavoisier e il Primato della Bilancia</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Antoine Lavoisier segna il punto di rottura definitivo con l'alchimia qualitativa. Pur ereditandone tecniche preziose come la distillazione, Lavoisier ha imposto un linguaggio universale basato sulla massa, superando la "Babele" terminologica del passato.</w:t>
      </w:r>
    </w:p>
    <w:p w:rsidR="00C66614" w:rsidRPr="00C66614" w:rsidRDefault="00C66614" w:rsidP="00C66614">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Dalla Teoria alla Legge:</w:t>
      </w:r>
      <w:r w:rsidRPr="00C66614">
        <w:rPr>
          <w:rFonts w:ascii="Times New Roman" w:eastAsia="Times New Roman" w:hAnsi="Times New Roman" w:cs="Times New Roman"/>
          <w:sz w:val="24"/>
          <w:szCs w:val="24"/>
          <w:lang w:eastAsia="it-IT"/>
        </w:rPr>
        <w:t xml:space="preserve"> Seguendo il glossario tecnico, Lavoisier ha permesso di distinguere tra la </w:t>
      </w:r>
      <w:r w:rsidRPr="00C66614">
        <w:rPr>
          <w:rFonts w:ascii="Times New Roman" w:eastAsia="Times New Roman" w:hAnsi="Times New Roman" w:cs="Times New Roman"/>
          <w:b/>
          <w:bCs/>
          <w:sz w:val="24"/>
          <w:szCs w:val="24"/>
          <w:lang w:eastAsia="it-IT"/>
        </w:rPr>
        <w:t>Teoria</w:t>
      </w:r>
      <w:r w:rsidRPr="00C66614">
        <w:rPr>
          <w:rFonts w:ascii="Times New Roman" w:eastAsia="Times New Roman" w:hAnsi="Times New Roman" w:cs="Times New Roman"/>
          <w:sz w:val="24"/>
          <w:szCs w:val="24"/>
          <w:lang w:eastAsia="it-IT"/>
        </w:rPr>
        <w:t xml:space="preserve"> (il modello organico che spiega il "perché", ad esempio il ruolo dell'ossigeno nella combustione) e la </w:t>
      </w:r>
      <w:r w:rsidRPr="00C66614">
        <w:rPr>
          <w:rFonts w:ascii="Times New Roman" w:eastAsia="Times New Roman" w:hAnsi="Times New Roman" w:cs="Times New Roman"/>
          <w:b/>
          <w:bCs/>
          <w:sz w:val="24"/>
          <w:szCs w:val="24"/>
          <w:lang w:eastAsia="it-IT"/>
        </w:rPr>
        <w:t>Legge</w:t>
      </w:r>
      <w:r w:rsidRPr="00C66614">
        <w:rPr>
          <w:rFonts w:ascii="Times New Roman" w:eastAsia="Times New Roman" w:hAnsi="Times New Roman" w:cs="Times New Roman"/>
          <w:sz w:val="24"/>
          <w:szCs w:val="24"/>
          <w:lang w:eastAsia="it-IT"/>
        </w:rPr>
        <w:t xml:space="preserve"> (la relazione costante e matematica che descrive il "come", ovvero la regolarità del peso in una reazione).</w:t>
      </w:r>
    </w:p>
    <w:p w:rsidR="00C66614" w:rsidRPr="00C66614" w:rsidRDefault="00C66614" w:rsidP="00C66614">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Il Primato della Misura:</w:t>
      </w:r>
      <w:r w:rsidRPr="00C66614">
        <w:rPr>
          <w:rFonts w:ascii="Times New Roman" w:eastAsia="Times New Roman" w:hAnsi="Times New Roman" w:cs="Times New Roman"/>
          <w:sz w:val="24"/>
          <w:szCs w:val="24"/>
          <w:lang w:eastAsia="it-IT"/>
        </w:rPr>
        <w:t xml:space="preserve"> Attraverso l'uso sistematico della bilancia, la materia cessa di essere un'entità misteriosa e diventa una costante rintracciabile attraverso ogni trasformazione strutturale.</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t>4. Lo Schema Mentale Operativo: L’Analogia del Bilanciamento dei Carichi (In = Out)</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Per visualizzare la conservazione della massa, il tecnico deve applicare la logica dello </w:t>
      </w:r>
      <w:r w:rsidRPr="00C66614">
        <w:rPr>
          <w:rFonts w:ascii="Times New Roman" w:eastAsia="Times New Roman" w:hAnsi="Times New Roman" w:cs="Times New Roman"/>
          <w:i/>
          <w:iCs/>
          <w:sz w:val="24"/>
          <w:szCs w:val="24"/>
          <w:lang w:eastAsia="it-IT"/>
        </w:rPr>
        <w:t>Stowage Plan</w:t>
      </w:r>
      <w:r w:rsidRPr="00C66614">
        <w:rPr>
          <w:rFonts w:ascii="Times New Roman" w:eastAsia="Times New Roman" w:hAnsi="Times New Roman" w:cs="Times New Roman"/>
          <w:sz w:val="24"/>
          <w:szCs w:val="24"/>
          <w:lang w:eastAsia="it-IT"/>
        </w:rPr>
        <w:t xml:space="preserve"> (Piano di Carico).</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Parallelo tra Stowage Plan e Reazione Chimica</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Una reazione chimica opera esattamente come una complessa operazione di sbarco e imbarco merci su una nave cargo:</w:t>
      </w:r>
    </w:p>
    <w:p w:rsidR="00C66614" w:rsidRPr="00C66614" w:rsidRDefault="00C66614" w:rsidP="00C66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Ingressi (Reagenti) = Uscite (Prodotti):</w:t>
      </w:r>
      <w:r w:rsidRPr="00C66614">
        <w:rPr>
          <w:rFonts w:ascii="Times New Roman" w:eastAsia="Times New Roman" w:hAnsi="Times New Roman" w:cs="Times New Roman"/>
          <w:sz w:val="24"/>
          <w:szCs w:val="24"/>
          <w:lang w:eastAsia="it-IT"/>
        </w:rPr>
        <w:t xml:space="preserve"> La massa totale delle merci che entrano nel sistema deve corrispondere esattamente alla massa in uscita.</w:t>
      </w:r>
    </w:p>
    <w:p w:rsidR="00C66614" w:rsidRPr="00C66614" w:rsidRDefault="00C66614" w:rsidP="00C66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Peso Morto (Deadweight):</w:t>
      </w:r>
      <w:r w:rsidRPr="00C66614">
        <w:rPr>
          <w:rFonts w:ascii="Times New Roman" w:eastAsia="Times New Roman" w:hAnsi="Times New Roman" w:cs="Times New Roman"/>
          <w:sz w:val="24"/>
          <w:szCs w:val="24"/>
          <w:lang w:eastAsia="it-IT"/>
        </w:rPr>
        <w:t xml:space="preserve"> In questo contesto chimico, il "peso morto" rappresenta la </w:t>
      </w:r>
      <w:r w:rsidRPr="00C66614">
        <w:rPr>
          <w:rFonts w:ascii="Times New Roman" w:eastAsia="Times New Roman" w:hAnsi="Times New Roman" w:cs="Times New Roman"/>
          <w:b/>
          <w:bCs/>
          <w:sz w:val="24"/>
          <w:szCs w:val="24"/>
          <w:lang w:eastAsia="it-IT"/>
        </w:rPr>
        <w:t>massa totale invariante</w:t>
      </w:r>
      <w:r w:rsidRPr="00C66614">
        <w:rPr>
          <w:rFonts w:ascii="Times New Roman" w:eastAsia="Times New Roman" w:hAnsi="Times New Roman" w:cs="Times New Roman"/>
          <w:sz w:val="24"/>
          <w:szCs w:val="24"/>
          <w:lang w:eastAsia="it-IT"/>
        </w:rPr>
        <w:t xml:space="preserve"> del sistema. Nonostante la riorganizzazione interna dei materiali, la massa complessiva non varia.</w:t>
      </w:r>
    </w:p>
    <w:p w:rsidR="00C66614" w:rsidRPr="00C66614" w:rsidRDefault="00C66614" w:rsidP="00C66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Atomi come Container:</w:t>
      </w:r>
      <w:r w:rsidRPr="00C66614">
        <w:rPr>
          <w:rFonts w:ascii="Times New Roman" w:eastAsia="Times New Roman" w:hAnsi="Times New Roman" w:cs="Times New Roman"/>
          <w:sz w:val="24"/>
          <w:szCs w:val="24"/>
          <w:lang w:eastAsia="it-IT"/>
        </w:rPr>
        <w:t xml:space="preserve"> Gli atomi sono unità discrete e indivisibili. Come un container mantiene il proprio </w:t>
      </w:r>
      <w:r w:rsidRPr="00C66614">
        <w:rPr>
          <w:rFonts w:ascii="Times New Roman" w:eastAsia="Times New Roman" w:hAnsi="Times New Roman" w:cs="Times New Roman"/>
          <w:b/>
          <w:bCs/>
          <w:sz w:val="24"/>
          <w:szCs w:val="24"/>
          <w:lang w:eastAsia="it-IT"/>
        </w:rPr>
        <w:t>codice ID o sigillo</w:t>
      </w:r>
      <w:r w:rsidRPr="00C66614">
        <w:rPr>
          <w:rFonts w:ascii="Times New Roman" w:eastAsia="Times New Roman" w:hAnsi="Times New Roman" w:cs="Times New Roman"/>
          <w:sz w:val="24"/>
          <w:szCs w:val="24"/>
          <w:lang w:eastAsia="it-IT"/>
        </w:rPr>
        <w:t xml:space="preserve"> indipendentemente dalla posizione sulla nave, l'atomo mantiene la propria </w:t>
      </w:r>
      <w:r w:rsidRPr="00C66614">
        <w:rPr>
          <w:rFonts w:ascii="Times New Roman" w:eastAsia="Times New Roman" w:hAnsi="Times New Roman" w:cs="Times New Roman"/>
          <w:b/>
          <w:bCs/>
          <w:sz w:val="24"/>
          <w:szCs w:val="24"/>
          <w:lang w:eastAsia="it-IT"/>
        </w:rPr>
        <w:t>identità (Numero Atomico)</w:t>
      </w:r>
      <w:r w:rsidRPr="00C66614">
        <w:rPr>
          <w:rFonts w:ascii="Times New Roman" w:eastAsia="Times New Roman" w:hAnsi="Times New Roman" w:cs="Times New Roman"/>
          <w:sz w:val="24"/>
          <w:szCs w:val="24"/>
          <w:lang w:eastAsia="it-IT"/>
        </w:rPr>
        <w:t xml:space="preserve"> anche se la "pila di carico" (la molecola) cambia configurazione.</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t>5. Verso la Lezione 1.8: Tracciabilità e Conservazione</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 xml:space="preserve">La prossima lezione introdurrà la </w:t>
      </w:r>
      <w:r w:rsidRPr="00C66614">
        <w:rPr>
          <w:rFonts w:ascii="Times New Roman" w:eastAsia="Times New Roman" w:hAnsi="Times New Roman" w:cs="Times New Roman"/>
          <w:b/>
          <w:bCs/>
          <w:sz w:val="24"/>
          <w:szCs w:val="24"/>
          <w:lang w:eastAsia="it-IT"/>
        </w:rPr>
        <w:t>Legge di Conservazione della Massa</w:t>
      </w:r>
      <w:r w:rsidRPr="00C66614">
        <w:rPr>
          <w:rFonts w:ascii="Times New Roman" w:eastAsia="Times New Roman" w:hAnsi="Times New Roman" w:cs="Times New Roman"/>
          <w:sz w:val="24"/>
          <w:szCs w:val="24"/>
          <w:lang w:eastAsia="it-IT"/>
        </w:rPr>
        <w:t xml:space="preserve"> applicata alla rintracciabilità degli atomi. Secondo la visione di "Information Design" (eredità di Democrito), le proprietà della materia dipendono dalla disposizione spaziale, ma la quantità totale resta conservata.</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Il bilanciamento delle reazioni è lo strumento per prevedere l'esito delle trasformazioni tecniche, come dimostrano questi dati di settore:</w:t>
      </w:r>
    </w:p>
    <w:p w:rsidR="00C66614" w:rsidRPr="00C66614" w:rsidRDefault="00C66614" w:rsidP="00C66614">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Combustione SAF (Sustainable Aviation Fuels):</w:t>
      </w:r>
      <w:r w:rsidRPr="00C66614">
        <w:rPr>
          <w:rFonts w:ascii="Times New Roman" w:eastAsia="Times New Roman" w:hAnsi="Times New Roman" w:cs="Times New Roman"/>
          <w:sz w:val="24"/>
          <w:szCs w:val="24"/>
          <w:lang w:eastAsia="it-IT"/>
        </w:rPr>
        <w:t xml:space="preserve"> La comprensione quantitativa permette di gestire vettori con densità energetica di </w:t>
      </w:r>
      <w:r w:rsidRPr="00C66614">
        <w:rPr>
          <w:rFonts w:ascii="Times New Roman" w:eastAsia="Times New Roman" w:hAnsi="Times New Roman" w:cs="Times New Roman"/>
          <w:b/>
          <w:bCs/>
          <w:sz w:val="24"/>
          <w:szCs w:val="24"/>
          <w:lang w:eastAsia="it-IT"/>
        </w:rPr>
        <w:t>43 MJ/kg</w:t>
      </w:r>
      <w:r w:rsidRPr="00C66614">
        <w:rPr>
          <w:rFonts w:ascii="Times New Roman" w:eastAsia="Times New Roman" w:hAnsi="Times New Roman" w:cs="Times New Roman"/>
          <w:sz w:val="24"/>
          <w:szCs w:val="24"/>
          <w:lang w:eastAsia="it-IT"/>
        </w:rPr>
        <w:t xml:space="preserve"> e stabilità fluida fino a </w:t>
      </w:r>
      <w:r w:rsidRPr="00C66614">
        <w:rPr>
          <w:rFonts w:ascii="Times New Roman" w:eastAsia="Times New Roman" w:hAnsi="Times New Roman" w:cs="Times New Roman"/>
          <w:b/>
          <w:bCs/>
          <w:sz w:val="24"/>
          <w:szCs w:val="24"/>
          <w:lang w:eastAsia="it-IT"/>
        </w:rPr>
        <w:t>-47°C</w:t>
      </w:r>
      <w:r w:rsidRPr="00C66614">
        <w:rPr>
          <w:rFonts w:ascii="Times New Roman" w:eastAsia="Times New Roman" w:hAnsi="Times New Roman" w:cs="Times New Roman"/>
          <w:sz w:val="24"/>
          <w:szCs w:val="24"/>
          <w:lang w:eastAsia="it-IT"/>
        </w:rPr>
        <w:t>.</w:t>
      </w:r>
    </w:p>
    <w:p w:rsidR="00C66614" w:rsidRPr="00C66614" w:rsidRDefault="00C66614" w:rsidP="00C66614">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Ossidazione dei Metalli:</w:t>
      </w:r>
      <w:r w:rsidRPr="00C66614">
        <w:rPr>
          <w:rFonts w:ascii="Times New Roman" w:eastAsia="Times New Roman" w:hAnsi="Times New Roman" w:cs="Times New Roman"/>
          <w:sz w:val="24"/>
          <w:szCs w:val="24"/>
          <w:lang w:eastAsia="it-IT"/>
        </w:rPr>
        <w:t xml:space="preserve"> Prevedere con precisione la massa di ossido di ferro (Fe_2O_3) che si forma su uno scafo è essenziale per programmare gli interventi di manutenzione e la sostituzione degli anodi sacrificali.</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lastRenderedPageBreak/>
        <w:t>6. Strumenti di Supporto e Inclusione (Scaffolding BES/DSA)</w:t>
      </w:r>
    </w:p>
    <w:p w:rsidR="00C66614" w:rsidRPr="00C66614" w:rsidRDefault="00C66614" w:rsidP="00C66614">
      <w:p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sz w:val="24"/>
          <w:szCs w:val="24"/>
          <w:lang w:eastAsia="it-IT"/>
        </w:rPr>
        <w:t>Per garantire l'accessibilità della transizione didattica, si adottano le seguenti strategie:</w:t>
      </w:r>
    </w:p>
    <w:p w:rsidR="00C66614" w:rsidRPr="00C66614" w:rsidRDefault="00C66614" w:rsidP="00C66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Visual Binary (Binary Visuale):</w:t>
      </w:r>
      <w:r w:rsidRPr="00C66614">
        <w:rPr>
          <w:rFonts w:ascii="Times New Roman" w:eastAsia="Times New Roman" w:hAnsi="Times New Roman" w:cs="Times New Roman"/>
          <w:sz w:val="24"/>
          <w:szCs w:val="24"/>
          <w:lang w:eastAsia="it-IT"/>
        </w:rPr>
        <w:t xml:space="preserve"> Presentazione della distinzione tra Legge (descrizione matematica) e Teoria (spiegazione causale) tramite un </w:t>
      </w:r>
      <w:r w:rsidRPr="00C66614">
        <w:rPr>
          <w:rFonts w:ascii="Times New Roman" w:eastAsia="Times New Roman" w:hAnsi="Times New Roman" w:cs="Times New Roman"/>
          <w:b/>
          <w:bCs/>
          <w:sz w:val="24"/>
          <w:szCs w:val="24"/>
          <w:lang w:eastAsia="it-IT"/>
        </w:rPr>
        <w:t>T-Chart</w:t>
      </w:r>
      <w:r w:rsidRPr="00C66614">
        <w:rPr>
          <w:rFonts w:ascii="Times New Roman" w:eastAsia="Times New Roman" w:hAnsi="Times New Roman" w:cs="Times New Roman"/>
          <w:sz w:val="24"/>
          <w:szCs w:val="24"/>
          <w:lang w:eastAsia="it-IT"/>
        </w:rPr>
        <w:t xml:space="preserve"> per ridurre il carico cognitivo.</w:t>
      </w:r>
    </w:p>
    <w:p w:rsidR="00C66614" w:rsidRPr="00C66614" w:rsidRDefault="00C66614" w:rsidP="00C66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Diagrammi di Flusso "In = Out":</w:t>
      </w:r>
      <w:r w:rsidRPr="00C66614">
        <w:rPr>
          <w:rFonts w:ascii="Times New Roman" w:eastAsia="Times New Roman" w:hAnsi="Times New Roman" w:cs="Times New Roman"/>
          <w:sz w:val="24"/>
          <w:szCs w:val="24"/>
          <w:lang w:eastAsia="it-IT"/>
        </w:rPr>
        <w:t xml:space="preserve"> Rappresentazione grafica dell'uguaglianza delle masse tra reagenti e prodotti per facilitare la memorizzazione del concetto di conservazione.</w:t>
      </w:r>
    </w:p>
    <w:p w:rsidR="00C66614" w:rsidRPr="00C66614" w:rsidRDefault="00C66614" w:rsidP="00C66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Mappe Concettuali con Nodi Pre-compilati:</w:t>
      </w:r>
      <w:r w:rsidRPr="00C66614">
        <w:rPr>
          <w:rFonts w:ascii="Times New Roman" w:eastAsia="Times New Roman" w:hAnsi="Times New Roman" w:cs="Times New Roman"/>
          <w:sz w:val="24"/>
          <w:szCs w:val="24"/>
          <w:lang w:eastAsia="it-IT"/>
        </w:rPr>
        <w:t xml:space="preserve"> Supporto per il raccordo tra trasformazioni fisiche (reversibili) e chimiche (irreversibili/nuove entità).</w:t>
      </w:r>
    </w:p>
    <w:p w:rsidR="00C66614" w:rsidRPr="00C66614" w:rsidRDefault="00C66614" w:rsidP="00C66614">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66614">
        <w:rPr>
          <w:rFonts w:ascii="Times New Roman" w:eastAsia="Times New Roman" w:hAnsi="Times New Roman" w:cs="Times New Roman"/>
          <w:b/>
          <w:bCs/>
          <w:sz w:val="27"/>
          <w:szCs w:val="27"/>
          <w:lang w:eastAsia="it-IT"/>
        </w:rPr>
        <w:t>7. Glossario Essenziale di Transizione</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Massa:</w:t>
      </w:r>
      <w:r w:rsidRPr="00C66614">
        <w:rPr>
          <w:rFonts w:ascii="Times New Roman" w:eastAsia="Times New Roman" w:hAnsi="Times New Roman" w:cs="Times New Roman"/>
          <w:sz w:val="24"/>
          <w:szCs w:val="24"/>
          <w:lang w:eastAsia="it-IT"/>
        </w:rPr>
        <w:t xml:space="preserve"> Quantità di materia misurabile che rimane costante in un sistema chiuso.</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Reagenti:</w:t>
      </w:r>
      <w:r w:rsidRPr="00C66614">
        <w:rPr>
          <w:rFonts w:ascii="Times New Roman" w:eastAsia="Times New Roman" w:hAnsi="Times New Roman" w:cs="Times New Roman"/>
          <w:sz w:val="24"/>
          <w:szCs w:val="24"/>
          <w:lang w:eastAsia="it-IT"/>
        </w:rPr>
        <w:t xml:space="preserve"> Sostanze iniziali che entrano in una trasformazione strutturale.</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Prodotti:</w:t>
      </w:r>
      <w:r w:rsidRPr="00C66614">
        <w:rPr>
          <w:rFonts w:ascii="Times New Roman" w:eastAsia="Times New Roman" w:hAnsi="Times New Roman" w:cs="Times New Roman"/>
          <w:sz w:val="24"/>
          <w:szCs w:val="24"/>
          <w:lang w:eastAsia="it-IT"/>
        </w:rPr>
        <w:t xml:space="preserve"> Nuove entità molecolari risultanti da una reazione.</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Legge di Conservazione:</w:t>
      </w:r>
      <w:r w:rsidRPr="00C66614">
        <w:rPr>
          <w:rFonts w:ascii="Times New Roman" w:eastAsia="Times New Roman" w:hAnsi="Times New Roman" w:cs="Times New Roman"/>
          <w:sz w:val="24"/>
          <w:szCs w:val="24"/>
          <w:lang w:eastAsia="it-IT"/>
        </w:rPr>
        <w:t xml:space="preserve"> Principio di Lavoisier secondo cui la massa totale del sistema è invariante.</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Sistema Chiuso:</w:t>
      </w:r>
      <w:r w:rsidRPr="00C66614">
        <w:rPr>
          <w:rFonts w:ascii="Times New Roman" w:eastAsia="Times New Roman" w:hAnsi="Times New Roman" w:cs="Times New Roman"/>
          <w:sz w:val="24"/>
          <w:szCs w:val="24"/>
          <w:lang w:eastAsia="it-IT"/>
        </w:rPr>
        <w:t xml:space="preserve"> Ambiente delimitato privo di scambi di massa con l'esterno, come un </w:t>
      </w:r>
      <w:r w:rsidRPr="00C66614">
        <w:rPr>
          <w:rFonts w:ascii="Times New Roman" w:eastAsia="Times New Roman" w:hAnsi="Times New Roman" w:cs="Times New Roman"/>
          <w:b/>
          <w:bCs/>
          <w:sz w:val="24"/>
          <w:szCs w:val="24"/>
          <w:lang w:eastAsia="it-IT"/>
        </w:rPr>
        <w:t>serbatoio di carburante a tenuta ermetica</w:t>
      </w:r>
      <w:r w:rsidRPr="00C66614">
        <w:rPr>
          <w:rFonts w:ascii="Times New Roman" w:eastAsia="Times New Roman" w:hAnsi="Times New Roman" w:cs="Times New Roman"/>
          <w:sz w:val="24"/>
          <w:szCs w:val="24"/>
          <w:lang w:eastAsia="it-IT"/>
        </w:rPr>
        <w:t xml:space="preserve"> o un </w:t>
      </w:r>
      <w:r w:rsidRPr="00C66614">
        <w:rPr>
          <w:rFonts w:ascii="Times New Roman" w:eastAsia="Times New Roman" w:hAnsi="Times New Roman" w:cs="Times New Roman"/>
          <w:b/>
          <w:bCs/>
          <w:sz w:val="24"/>
          <w:szCs w:val="24"/>
          <w:lang w:eastAsia="it-IT"/>
        </w:rPr>
        <w:t>circuito di raffreddamento a ciclo chiuso</w:t>
      </w:r>
      <w:r w:rsidRPr="00C66614">
        <w:rPr>
          <w:rFonts w:ascii="Times New Roman" w:eastAsia="Times New Roman" w:hAnsi="Times New Roman" w:cs="Times New Roman"/>
          <w:sz w:val="24"/>
          <w:szCs w:val="24"/>
          <w:lang w:eastAsia="it-IT"/>
        </w:rPr>
        <w:t>.</w:t>
      </w:r>
    </w:p>
    <w:p w:rsidR="00C66614" w:rsidRPr="00C66614" w:rsidRDefault="00C66614" w:rsidP="00C66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C66614">
        <w:rPr>
          <w:rFonts w:ascii="Times New Roman" w:eastAsia="Times New Roman" w:hAnsi="Times New Roman" w:cs="Times New Roman"/>
          <w:b/>
          <w:bCs/>
          <w:sz w:val="24"/>
          <w:szCs w:val="24"/>
          <w:lang w:eastAsia="it-IT"/>
        </w:rPr>
        <w:t>Bilanciamento Stechiometrico:</w:t>
      </w:r>
      <w:r w:rsidRPr="00C66614">
        <w:rPr>
          <w:rFonts w:ascii="Times New Roman" w:eastAsia="Times New Roman" w:hAnsi="Times New Roman" w:cs="Times New Roman"/>
          <w:sz w:val="24"/>
          <w:szCs w:val="24"/>
          <w:lang w:eastAsia="it-IT"/>
        </w:rPr>
        <w:t xml:space="preserve"> Applicazione pratica dell'Information Design per garantire che il numero di "container" (atomi) in ingresso corrisponda a quello in uscita.</w:t>
      </w:r>
    </w:p>
    <w:p w:rsidR="00B83941" w:rsidRDefault="00B83941">
      <w:bookmarkStart w:id="0" w:name="_GoBack"/>
      <w:bookmarkEnd w:id="0"/>
    </w:p>
    <w:sectPr w:rsidR="00B8394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7B130F"/>
    <w:multiLevelType w:val="multilevel"/>
    <w:tmpl w:val="CF1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42087"/>
    <w:multiLevelType w:val="multilevel"/>
    <w:tmpl w:val="211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F3E52"/>
    <w:multiLevelType w:val="multilevel"/>
    <w:tmpl w:val="44F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F3CF3"/>
    <w:multiLevelType w:val="multilevel"/>
    <w:tmpl w:val="CD50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C07CD"/>
    <w:multiLevelType w:val="multilevel"/>
    <w:tmpl w:val="D86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14"/>
    <w:rsid w:val="00B83941"/>
    <w:rsid w:val="00C666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D6DCD-C4E0-4262-A775-C620AFA3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C666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C66614"/>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66614"/>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C66614"/>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C66614"/>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809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1005</Words>
  <Characters>5731</Characters>
  <Application>Microsoft Office Word</Application>
  <DocSecurity>0</DocSecurity>
  <Lines>47</Lines>
  <Paragraphs>13</Paragraphs>
  <ScaleCrop>false</ScaleCrop>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Gianluigi Roscigno</dc:creator>
  <cp:keywords/>
  <dc:description/>
  <cp:lastModifiedBy>Gianluigi Roscigno</cp:lastModifiedBy>
  <cp:revision>1</cp:revision>
  <dcterms:created xsi:type="dcterms:W3CDTF">2026-06-23T08:56:00Z</dcterms:created>
  <dcterms:modified xsi:type="dcterms:W3CDTF">2026-06-23T08:57:00Z</dcterms:modified>
</cp:coreProperties>
</file>