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16D9D" w:rsidRPr="00116D9D" w:rsidRDefault="00116D9D" w:rsidP="00116D9D">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116D9D">
        <w:rPr>
          <w:rFonts w:ascii="Times New Roman" w:eastAsia="Times New Roman" w:hAnsi="Times New Roman" w:cs="Times New Roman"/>
          <w:b/>
          <w:bCs/>
          <w:kern w:val="36"/>
          <w:sz w:val="48"/>
          <w:szCs w:val="48"/>
          <w:lang w:eastAsia="it-IT"/>
        </w:rPr>
        <w:t>Report di Transizione Didattica: Dalla Misura alla Conservazione della Massa</w:t>
      </w:r>
    </w:p>
    <w:p w:rsidR="00116D9D" w:rsidRPr="00116D9D" w:rsidRDefault="00116D9D" w:rsidP="00116D9D">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116D9D">
        <w:rPr>
          <w:rFonts w:ascii="Times New Roman" w:eastAsia="Times New Roman" w:hAnsi="Times New Roman" w:cs="Times New Roman"/>
          <w:b/>
          <w:bCs/>
          <w:sz w:val="36"/>
          <w:szCs w:val="36"/>
          <w:lang w:eastAsia="it-IT"/>
        </w:rPr>
        <w:t>1. Obiettivi e Raccordo delle Competenze (Lezione 1.8 → 1.9)</w:t>
      </w:r>
    </w:p>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Il passaggio dalla Lezione 1.8 alla 1.9 segna l'evoluzione fondamentale dall'abilità di misurazione e diagnostica tecnica alla comprensione della natura invariante della materia. Se nella fase precedente l'attenzione è stata posta sullo sviluppo di un "occhio diagnostico" capace di identificare qualitativamente anomalie operative (come fumo allo scarico o incrostazioni), la transizione verso la Lezione 1.9 impone il superamento del dato descrittivo a favore della precisione quantitativa. La padronanza delle misure è il prerequisito indispensabile per comprendere che la materia non scompare, ma si trasforma. Tale rigore è fondamentale nel settore dei trasporti e della logistica per garantire la sicurezza del carico, l’efficienza energetica e la conformità alle normative ambientali attraverso il passaggio dalla percezione visiva alla certezza numerica.</w:t>
      </w:r>
    </w:p>
    <w:p w:rsidR="00116D9D" w:rsidRPr="00116D9D" w:rsidRDefault="00116D9D" w:rsidP="00116D9D">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116D9D">
        <w:rPr>
          <w:rFonts w:ascii="Times New Roman" w:eastAsia="Times New Roman" w:hAnsi="Times New Roman" w:cs="Times New Roman"/>
          <w:b/>
          <w:bCs/>
          <w:sz w:val="36"/>
          <w:szCs w:val="36"/>
          <w:lang w:eastAsia="it-IT"/>
        </w:rPr>
        <w:t>2. Il Sistema Internazionale (SI) come Protocollo di Sicurezza Operativa</w:t>
      </w:r>
    </w:p>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L'utilizzo delle unità del Sistema Internazionale non è solo una convenzione accademica, ma un protocollo di sicurezza per la gestione dei vettori e delle merci. Nel settore trasporti, la precisione su queste grandezze determina l'integrità strutturale e l'efficienza dei flussi.</w:t>
      </w:r>
    </w:p>
    <w:p w:rsidR="00116D9D" w:rsidRPr="00116D9D" w:rsidRDefault="00116D9D" w:rsidP="00116D9D">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b/>
          <w:bCs/>
          <w:sz w:val="24"/>
          <w:szCs w:val="24"/>
          <w:lang w:eastAsia="it-IT"/>
        </w:rPr>
        <w:t>Temperatura (K):</w:t>
      </w:r>
      <w:r w:rsidRPr="00116D9D">
        <w:rPr>
          <w:rFonts w:ascii="Times New Roman" w:eastAsia="Times New Roman" w:hAnsi="Times New Roman" w:cs="Times New Roman"/>
          <w:sz w:val="24"/>
          <w:szCs w:val="24"/>
          <w:lang w:eastAsia="it-IT"/>
        </w:rPr>
        <w:t xml:space="preserve"> Fondamentale per la stabilità dei carburanti. Il cherosene Jet-A1 deve mantenere le proprie caratteristiche fluide a temperature estremamente basse (-47°C / 226 K) per operare in sicurezza alle quote di crociera.</w:t>
      </w:r>
    </w:p>
    <w:p w:rsidR="00116D9D" w:rsidRPr="00116D9D" w:rsidRDefault="00116D9D" w:rsidP="00116D9D">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b/>
          <w:bCs/>
          <w:sz w:val="24"/>
          <w:szCs w:val="24"/>
          <w:lang w:eastAsia="it-IT"/>
        </w:rPr>
        <w:t>Massa (kg):</w:t>
      </w:r>
      <w:r w:rsidRPr="00116D9D">
        <w:rPr>
          <w:rFonts w:ascii="Times New Roman" w:eastAsia="Times New Roman" w:hAnsi="Times New Roman" w:cs="Times New Roman"/>
          <w:sz w:val="24"/>
          <w:szCs w:val="24"/>
          <w:lang w:eastAsia="it-IT"/>
        </w:rPr>
        <w:t xml:space="preserve"> Parametro critico per la composizione dei materiali e la densità energetica. Ad esempio, i SAF (Sustainable Aviation Fuels) devono garantire 43 MJ/kg per l'autonomia operativa, mentre l'acciaio inossidabile richiede una soglia quantitativa minima del </w:t>
      </w:r>
      <w:r w:rsidRPr="00116D9D">
        <w:rPr>
          <w:rFonts w:ascii="Times New Roman" w:eastAsia="Times New Roman" w:hAnsi="Times New Roman" w:cs="Times New Roman"/>
          <w:b/>
          <w:bCs/>
          <w:sz w:val="24"/>
          <w:szCs w:val="24"/>
          <w:lang w:eastAsia="it-IT"/>
        </w:rPr>
        <w:t>10,5% di Cromo</w:t>
      </w:r>
      <w:r w:rsidRPr="00116D9D">
        <w:rPr>
          <w:rFonts w:ascii="Times New Roman" w:eastAsia="Times New Roman" w:hAnsi="Times New Roman" w:cs="Times New Roman"/>
          <w:sz w:val="24"/>
          <w:szCs w:val="24"/>
          <w:lang w:eastAsia="it-IT"/>
        </w:rPr>
        <w:t xml:space="preserve"> per formare lo strato passivante protettivo.</w:t>
      </w:r>
    </w:p>
    <w:p w:rsidR="00116D9D" w:rsidRPr="00116D9D" w:rsidRDefault="00116D9D" w:rsidP="00116D9D">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b/>
          <w:bCs/>
          <w:sz w:val="24"/>
          <w:szCs w:val="24"/>
          <w:lang w:eastAsia="it-IT"/>
        </w:rPr>
        <w:t>Lunghezza (m):</w:t>
      </w:r>
      <w:r w:rsidRPr="00116D9D">
        <w:rPr>
          <w:rFonts w:ascii="Times New Roman" w:eastAsia="Times New Roman" w:hAnsi="Times New Roman" w:cs="Times New Roman"/>
          <w:sz w:val="24"/>
          <w:szCs w:val="24"/>
          <w:lang w:eastAsia="it-IT"/>
        </w:rPr>
        <w:t xml:space="preserve"> Essenziale per monitorare l'efficienza fluidodinamica; basti pensare che formazioni di fouling biologico sull'elica o sullo scafo possono causare un </w:t>
      </w:r>
      <w:r w:rsidRPr="00116D9D">
        <w:rPr>
          <w:rFonts w:ascii="Times New Roman" w:eastAsia="Times New Roman" w:hAnsi="Times New Roman" w:cs="Times New Roman"/>
          <w:b/>
          <w:bCs/>
          <w:sz w:val="24"/>
          <w:szCs w:val="24"/>
          <w:lang w:eastAsia="it-IT"/>
        </w:rPr>
        <w:t>aumento del 15% nei consumi</w:t>
      </w:r>
      <w:r w:rsidRPr="00116D9D">
        <w:rPr>
          <w:rFonts w:ascii="Times New Roman" w:eastAsia="Times New Roman" w:hAnsi="Times New Roman" w:cs="Times New Roman"/>
          <w:sz w:val="24"/>
          <w:szCs w:val="24"/>
          <w:lang w:eastAsia="it-IT"/>
        </w:rPr>
        <w:t xml:space="preserve"> di carburante per unità di distanza percorsa.</w:t>
      </w:r>
    </w:p>
    <w:p w:rsidR="00116D9D" w:rsidRPr="00116D9D" w:rsidRDefault="00116D9D" w:rsidP="00116D9D">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b/>
          <w:bCs/>
          <w:sz w:val="24"/>
          <w:szCs w:val="24"/>
          <w:lang w:eastAsia="it-IT"/>
        </w:rPr>
        <w:t>Tempo (s):</w:t>
      </w:r>
      <w:r w:rsidRPr="00116D9D">
        <w:rPr>
          <w:rFonts w:ascii="Times New Roman" w:eastAsia="Times New Roman" w:hAnsi="Times New Roman" w:cs="Times New Roman"/>
          <w:sz w:val="24"/>
          <w:szCs w:val="24"/>
          <w:lang w:eastAsia="it-IT"/>
        </w:rPr>
        <w:t xml:space="preserve"> Unità critica per la manutenzione preventiva. Un esempio è il monitoraggio dei cicli di degradazione degli elastomeri e delle guarnizioni nei motori operanti su rotte tropicali, dove calore e umidità accelerano l'invecchiamento dei materiali.</w:t>
      </w:r>
    </w:p>
    <w:p w:rsidR="00116D9D" w:rsidRPr="00116D9D" w:rsidRDefault="00116D9D" w:rsidP="00116D9D">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116D9D">
        <w:rPr>
          <w:rFonts w:ascii="Times New Roman" w:eastAsia="Times New Roman" w:hAnsi="Times New Roman" w:cs="Times New Roman"/>
          <w:b/>
          <w:bCs/>
          <w:sz w:val="36"/>
          <w:szCs w:val="36"/>
          <w:lang w:eastAsia="it-IT"/>
        </w:rPr>
        <w:t>3. Antoine Lavoisier e la Rivoluzione del Rigore Quantitativo</w:t>
      </w:r>
    </w:p>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 xml:space="preserve">Antoine-Laurent de Lavoisier ha trasformato la chimica da pratica alchemica e qualitativa (eredità del mondo arabo </w:t>
      </w:r>
      <w:r w:rsidRPr="00116D9D">
        <w:rPr>
          <w:rFonts w:ascii="Times New Roman" w:eastAsia="Times New Roman" w:hAnsi="Times New Roman" w:cs="Times New Roman"/>
          <w:i/>
          <w:iCs/>
          <w:sz w:val="24"/>
          <w:szCs w:val="24"/>
          <w:lang w:eastAsia="it-IT"/>
        </w:rPr>
        <w:t>al-kīmiyāʾ</w:t>
      </w:r>
      <w:r w:rsidRPr="00116D9D">
        <w:rPr>
          <w:rFonts w:ascii="Times New Roman" w:eastAsia="Times New Roman" w:hAnsi="Times New Roman" w:cs="Times New Roman"/>
          <w:sz w:val="24"/>
          <w:szCs w:val="24"/>
          <w:lang w:eastAsia="it-IT"/>
        </w:rPr>
        <w:t xml:space="preserve">) in una scienza esatta. Il suo contributo fondamentale è stato l’introduzione sistematica della </w:t>
      </w:r>
      <w:r w:rsidRPr="00116D9D">
        <w:rPr>
          <w:rFonts w:ascii="Times New Roman" w:eastAsia="Times New Roman" w:hAnsi="Times New Roman" w:cs="Times New Roman"/>
          <w:b/>
          <w:bCs/>
          <w:sz w:val="24"/>
          <w:szCs w:val="24"/>
          <w:lang w:eastAsia="it-IT"/>
        </w:rPr>
        <w:t>bilancia</w:t>
      </w:r>
      <w:r w:rsidRPr="00116D9D">
        <w:rPr>
          <w:rFonts w:ascii="Times New Roman" w:eastAsia="Times New Roman" w:hAnsi="Times New Roman" w:cs="Times New Roman"/>
          <w:sz w:val="24"/>
          <w:szCs w:val="24"/>
          <w:lang w:eastAsia="it-IT"/>
        </w:rPr>
        <w:t xml:space="preserve"> come strumento di indagine superiore alla semplice osservazione visiva. Pesando rigorosamente reagenti e prodotti, Lavoisier ha dimostrato che la materia è una costante.</w:t>
      </w:r>
    </w:p>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 xml:space="preserve">Il valore del capitale intellettuale introdotto da Lavoisier è riassunto nel celebre commento del matematico Lagrange in seguito alla condanna a morte dello scienziato durante la Rivoluzione </w:t>
      </w:r>
      <w:r w:rsidRPr="00116D9D">
        <w:rPr>
          <w:rFonts w:ascii="Times New Roman" w:eastAsia="Times New Roman" w:hAnsi="Times New Roman" w:cs="Times New Roman"/>
          <w:sz w:val="24"/>
          <w:szCs w:val="24"/>
          <w:lang w:eastAsia="it-IT"/>
        </w:rPr>
        <w:lastRenderedPageBreak/>
        <w:t xml:space="preserve">Francese: </w:t>
      </w:r>
      <w:r w:rsidRPr="00116D9D">
        <w:rPr>
          <w:rFonts w:ascii="Times New Roman" w:eastAsia="Times New Roman" w:hAnsi="Times New Roman" w:cs="Times New Roman"/>
          <w:i/>
          <w:iCs/>
          <w:sz w:val="24"/>
          <w:szCs w:val="24"/>
          <w:lang w:eastAsia="it-IT"/>
        </w:rPr>
        <w:t>"Ci è voluto solo un momento per tagliare questa testa; ci vorranno cento anni per produrne un'altra uguale"</w:t>
      </w:r>
      <w:r w:rsidRPr="00116D9D">
        <w:rPr>
          <w:rFonts w:ascii="Times New Roman" w:eastAsia="Times New Roman" w:hAnsi="Times New Roman" w:cs="Times New Roman"/>
          <w:sz w:val="24"/>
          <w:szCs w:val="24"/>
          <w:lang w:eastAsia="it-IT"/>
        </w:rPr>
        <w:t>.</w:t>
      </w:r>
    </w:p>
    <w:p w:rsidR="00116D9D" w:rsidRPr="00116D9D" w:rsidRDefault="00116D9D" w:rsidP="00116D9D">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116D9D">
        <w:rPr>
          <w:rFonts w:ascii="Times New Roman" w:eastAsia="Times New Roman" w:hAnsi="Times New Roman" w:cs="Times New Roman"/>
          <w:b/>
          <w:bCs/>
          <w:sz w:val="36"/>
          <w:szCs w:val="36"/>
          <w:lang w:eastAsia="it-IT"/>
        </w:rPr>
        <w:t>4. L’Analogia Operativa: Il Bilanciamento dei Carichi (In = Out)</w:t>
      </w:r>
    </w:p>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 xml:space="preserve">Per comprendere la Legge di Conservazione della Massa, utilizziamo l'analogia professionale dello </w:t>
      </w:r>
      <w:r w:rsidRPr="00116D9D">
        <w:rPr>
          <w:rFonts w:ascii="Times New Roman" w:eastAsia="Times New Roman" w:hAnsi="Times New Roman" w:cs="Times New Roman"/>
          <w:i/>
          <w:iCs/>
          <w:sz w:val="24"/>
          <w:szCs w:val="24"/>
          <w:lang w:eastAsia="it-IT"/>
        </w:rPr>
        <w:t>Stowage Plan</w:t>
      </w:r>
      <w:r w:rsidRPr="00116D9D">
        <w:rPr>
          <w:rFonts w:ascii="Times New Roman" w:eastAsia="Times New Roman" w:hAnsi="Times New Roman" w:cs="Times New Roman"/>
          <w:sz w:val="24"/>
          <w:szCs w:val="24"/>
          <w:lang w:eastAsia="it-IT"/>
        </w:rPr>
        <w:t xml:space="preserve"> (Piano di Carico). In una trasformazione chimica, come in un'operazione logistica, l'identità dei singoli componenti non muta, ma cambia la loro configurazione.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08"/>
        <w:gridCol w:w="4814"/>
      </w:tblGrid>
      <w:tr w:rsidR="00116D9D" w:rsidRPr="00116D9D" w:rsidTr="00116D9D">
        <w:tc>
          <w:tcPr>
            <w:tcW w:w="0" w:type="auto"/>
            <w:tcBorders>
              <w:top w:val="outset" w:sz="6" w:space="0" w:color="auto"/>
              <w:left w:val="outset" w:sz="6" w:space="0" w:color="auto"/>
              <w:bottom w:val="outset" w:sz="6" w:space="0" w:color="auto"/>
              <w:right w:val="outset" w:sz="6" w:space="0" w:color="auto"/>
            </w:tcBorders>
            <w:vAlign w:val="center"/>
            <w:hideMark/>
          </w:tcPr>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Logica Logistica (Stowage Plan)</w:t>
            </w:r>
          </w:p>
        </w:tc>
        <w:tc>
          <w:tcPr>
            <w:tcW w:w="0" w:type="auto"/>
            <w:tcBorders>
              <w:top w:val="outset" w:sz="6" w:space="0" w:color="auto"/>
              <w:left w:val="outset" w:sz="6" w:space="0" w:color="auto"/>
              <w:bottom w:val="outset" w:sz="6" w:space="0" w:color="auto"/>
              <w:right w:val="outset" w:sz="6" w:space="0" w:color="auto"/>
            </w:tcBorders>
            <w:vAlign w:val="center"/>
            <w:hideMark/>
          </w:tcPr>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Logica Chimica (Conservazione)</w:t>
            </w:r>
          </w:p>
        </w:tc>
      </w:tr>
      <w:tr w:rsidR="00116D9D" w:rsidRPr="00116D9D" w:rsidTr="00116D9D">
        <w:tc>
          <w:tcPr>
            <w:tcW w:w="0" w:type="auto"/>
            <w:tcBorders>
              <w:top w:val="outset" w:sz="6" w:space="0" w:color="auto"/>
              <w:left w:val="outset" w:sz="6" w:space="0" w:color="auto"/>
              <w:bottom w:val="outset" w:sz="6" w:space="0" w:color="auto"/>
              <w:right w:val="outset" w:sz="6" w:space="0" w:color="auto"/>
            </w:tcBorders>
            <w:vAlign w:val="center"/>
            <w:hideMark/>
          </w:tcPr>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Operazioni di sbarco/imbarco: i container cambiano posizione sulla nave.</w:t>
            </w:r>
          </w:p>
        </w:tc>
        <w:tc>
          <w:tcPr>
            <w:tcW w:w="0" w:type="auto"/>
            <w:tcBorders>
              <w:top w:val="outset" w:sz="6" w:space="0" w:color="auto"/>
              <w:left w:val="outset" w:sz="6" w:space="0" w:color="auto"/>
              <w:bottom w:val="outset" w:sz="6" w:space="0" w:color="auto"/>
              <w:right w:val="outset" w:sz="6" w:space="0" w:color="auto"/>
            </w:tcBorders>
            <w:vAlign w:val="center"/>
            <w:hideMark/>
          </w:tcPr>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 xml:space="preserve">Reazione chimica: gli atomi si </w:t>
            </w:r>
            <w:r w:rsidRPr="00116D9D">
              <w:rPr>
                <w:rFonts w:ascii="Times New Roman" w:eastAsia="Times New Roman" w:hAnsi="Times New Roman" w:cs="Times New Roman"/>
                <w:b/>
                <w:bCs/>
                <w:sz w:val="24"/>
                <w:szCs w:val="24"/>
                <w:lang w:eastAsia="it-IT"/>
              </w:rPr>
              <w:t>riorganizzano</w:t>
            </w:r>
            <w:r w:rsidRPr="00116D9D">
              <w:rPr>
                <w:rFonts w:ascii="Times New Roman" w:eastAsia="Times New Roman" w:hAnsi="Times New Roman" w:cs="Times New Roman"/>
                <w:sz w:val="24"/>
                <w:szCs w:val="24"/>
                <w:lang w:eastAsia="it-IT"/>
              </w:rPr>
              <w:t xml:space="preserve"> in nuove entità molecolari.</w:t>
            </w:r>
          </w:p>
        </w:tc>
      </w:tr>
      <w:tr w:rsidR="00116D9D" w:rsidRPr="00116D9D" w:rsidTr="00116D9D">
        <w:tc>
          <w:tcPr>
            <w:tcW w:w="0" w:type="auto"/>
            <w:tcBorders>
              <w:top w:val="outset" w:sz="6" w:space="0" w:color="auto"/>
              <w:left w:val="outset" w:sz="6" w:space="0" w:color="auto"/>
              <w:bottom w:val="outset" w:sz="6" w:space="0" w:color="auto"/>
              <w:right w:val="outset" w:sz="6" w:space="0" w:color="auto"/>
            </w:tcBorders>
            <w:vAlign w:val="center"/>
            <w:hideMark/>
          </w:tcPr>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Massa totale Ingressi = Massa totale Uscite (Manifesto di carico).</w:t>
            </w:r>
          </w:p>
        </w:tc>
        <w:tc>
          <w:tcPr>
            <w:tcW w:w="0" w:type="auto"/>
            <w:tcBorders>
              <w:top w:val="outset" w:sz="6" w:space="0" w:color="auto"/>
              <w:left w:val="outset" w:sz="6" w:space="0" w:color="auto"/>
              <w:bottom w:val="outset" w:sz="6" w:space="0" w:color="auto"/>
              <w:right w:val="outset" w:sz="6" w:space="0" w:color="auto"/>
            </w:tcBorders>
            <w:vAlign w:val="center"/>
            <w:hideMark/>
          </w:tcPr>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Legge di Conservazione della Massa (Massa Reagenti = Massa Prodotti).</w:t>
            </w:r>
          </w:p>
        </w:tc>
      </w:tr>
      <w:tr w:rsidR="00116D9D" w:rsidRPr="00116D9D" w:rsidTr="00116D9D">
        <w:tc>
          <w:tcPr>
            <w:tcW w:w="0" w:type="auto"/>
            <w:tcBorders>
              <w:top w:val="outset" w:sz="6" w:space="0" w:color="auto"/>
              <w:left w:val="outset" w:sz="6" w:space="0" w:color="auto"/>
              <w:bottom w:val="outset" w:sz="6" w:space="0" w:color="auto"/>
              <w:right w:val="outset" w:sz="6" w:space="0" w:color="auto"/>
            </w:tcBorders>
            <w:vAlign w:val="center"/>
            <w:hideMark/>
          </w:tcPr>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Codice ID del container: l'identità del carico resta fissa.</w:t>
            </w:r>
          </w:p>
        </w:tc>
        <w:tc>
          <w:tcPr>
            <w:tcW w:w="0" w:type="auto"/>
            <w:tcBorders>
              <w:top w:val="outset" w:sz="6" w:space="0" w:color="auto"/>
              <w:left w:val="outset" w:sz="6" w:space="0" w:color="auto"/>
              <w:bottom w:val="outset" w:sz="6" w:space="0" w:color="auto"/>
              <w:right w:val="outset" w:sz="6" w:space="0" w:color="auto"/>
            </w:tcBorders>
            <w:vAlign w:val="center"/>
            <w:hideMark/>
          </w:tcPr>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Numero Atomico: l'identità dell'atomo rimane invariante.</w:t>
            </w:r>
          </w:p>
        </w:tc>
      </w:tr>
    </w:tbl>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b/>
          <w:bCs/>
          <w:sz w:val="24"/>
          <w:szCs w:val="24"/>
          <w:lang w:eastAsia="it-IT"/>
        </w:rPr>
        <w:t>Nota tecnica:</w:t>
      </w:r>
      <w:r w:rsidRPr="00116D9D">
        <w:rPr>
          <w:rFonts w:ascii="Times New Roman" w:eastAsia="Times New Roman" w:hAnsi="Times New Roman" w:cs="Times New Roman"/>
          <w:sz w:val="24"/>
          <w:szCs w:val="24"/>
          <w:lang w:eastAsia="it-IT"/>
        </w:rPr>
        <w:t xml:space="preserve"> Come in una nave cargo, i container (atomi) non vengono creati né distrutti, ma semplicemente ricollocati per formare un nuovo assetto. Nonostante la trasformazione strutturale da reagenti a prodotti, il "peso morto" (</w:t>
      </w:r>
      <w:r w:rsidRPr="00116D9D">
        <w:rPr>
          <w:rFonts w:ascii="Times New Roman" w:eastAsia="Times New Roman" w:hAnsi="Times New Roman" w:cs="Times New Roman"/>
          <w:i/>
          <w:iCs/>
          <w:sz w:val="24"/>
          <w:szCs w:val="24"/>
          <w:lang w:eastAsia="it-IT"/>
        </w:rPr>
        <w:t>deadweight</w:t>
      </w:r>
      <w:r w:rsidRPr="00116D9D">
        <w:rPr>
          <w:rFonts w:ascii="Times New Roman" w:eastAsia="Times New Roman" w:hAnsi="Times New Roman" w:cs="Times New Roman"/>
          <w:sz w:val="24"/>
          <w:szCs w:val="24"/>
          <w:lang w:eastAsia="it-IT"/>
        </w:rPr>
        <w:t>) totale del sistema rimane invariato.</w:t>
      </w:r>
    </w:p>
    <w:p w:rsidR="00116D9D" w:rsidRPr="00116D9D" w:rsidRDefault="00116D9D" w:rsidP="00116D9D">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116D9D">
        <w:rPr>
          <w:rFonts w:ascii="Times New Roman" w:eastAsia="Times New Roman" w:hAnsi="Times New Roman" w:cs="Times New Roman"/>
          <w:b/>
          <w:bCs/>
          <w:sz w:val="36"/>
          <w:szCs w:val="36"/>
          <w:lang w:eastAsia="it-IT"/>
        </w:rPr>
        <w:t>5. Diagnostica Tecnica e Tracciabilità della Materia</w:t>
      </w:r>
    </w:p>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 xml:space="preserve">La Legge di Lavoisier permette al tecnico di passare da un approccio osservativo a uno </w:t>
      </w:r>
      <w:r w:rsidRPr="00116D9D">
        <w:rPr>
          <w:rFonts w:ascii="Times New Roman" w:eastAsia="Times New Roman" w:hAnsi="Times New Roman" w:cs="Times New Roman"/>
          <w:b/>
          <w:bCs/>
          <w:sz w:val="24"/>
          <w:szCs w:val="24"/>
          <w:lang w:eastAsia="it-IT"/>
        </w:rPr>
        <w:t>predittivo</w:t>
      </w:r>
      <w:r w:rsidRPr="00116D9D">
        <w:rPr>
          <w:rFonts w:ascii="Times New Roman" w:eastAsia="Times New Roman" w:hAnsi="Times New Roman" w:cs="Times New Roman"/>
          <w:sz w:val="24"/>
          <w:szCs w:val="24"/>
          <w:lang w:eastAsia="it-IT"/>
        </w:rPr>
        <w:t>, tracciando la materia attraverso trasformazioni strutturali complesse:</w:t>
      </w:r>
    </w:p>
    <w:p w:rsidR="00116D9D" w:rsidRPr="00116D9D" w:rsidRDefault="00116D9D" w:rsidP="00116D9D">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b/>
          <w:bCs/>
          <w:sz w:val="24"/>
          <w:szCs w:val="24"/>
          <w:lang w:eastAsia="it-IT"/>
        </w:rPr>
        <w:t>Anodi Sacrificali:</w:t>
      </w:r>
      <w:r w:rsidRPr="00116D9D">
        <w:rPr>
          <w:rFonts w:ascii="Times New Roman" w:eastAsia="Times New Roman" w:hAnsi="Times New Roman" w:cs="Times New Roman"/>
          <w:sz w:val="24"/>
          <w:szCs w:val="24"/>
          <w:lang w:eastAsia="it-IT"/>
        </w:rPr>
        <w:t xml:space="preserve"> Attraverso la protezione catodica, la perdita di massa prevedibile dei blocchetti di zinco o magnesio permette di calcolare esattamente quanto metallo deve ossidarsi per proteggere lo scafo.</w:t>
      </w:r>
    </w:p>
    <w:p w:rsidR="00116D9D" w:rsidRPr="00116D9D" w:rsidRDefault="00116D9D" w:rsidP="00116D9D">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b/>
          <w:bCs/>
          <w:sz w:val="24"/>
          <w:szCs w:val="24"/>
          <w:lang w:eastAsia="it-IT"/>
        </w:rPr>
        <w:t>Manutenzione Strutturale:</w:t>
      </w:r>
      <w:r w:rsidRPr="00116D9D">
        <w:rPr>
          <w:rFonts w:ascii="Times New Roman" w:eastAsia="Times New Roman" w:hAnsi="Times New Roman" w:cs="Times New Roman"/>
          <w:sz w:val="24"/>
          <w:szCs w:val="24"/>
          <w:lang w:eastAsia="it-IT"/>
        </w:rPr>
        <w:t xml:space="preserve"> La formazione di ossido di ferro (Fe_2O_3) non è solo un'osservazione visiva (ruggine), ma un calcolo quantitativo che permette di prevedere il degrado dei materiali ferrosi e programmare gli interventi prima del cedimento.</w:t>
      </w:r>
    </w:p>
    <w:p w:rsidR="00116D9D" w:rsidRPr="00116D9D" w:rsidRDefault="00116D9D" w:rsidP="00116D9D">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b/>
          <w:bCs/>
          <w:sz w:val="24"/>
          <w:szCs w:val="24"/>
          <w:lang w:eastAsia="it-IT"/>
        </w:rPr>
        <w:t>Efficienza Motore e Sostenibilità:</w:t>
      </w:r>
      <w:r w:rsidRPr="00116D9D">
        <w:rPr>
          <w:rFonts w:ascii="Times New Roman" w:eastAsia="Times New Roman" w:hAnsi="Times New Roman" w:cs="Times New Roman"/>
          <w:sz w:val="24"/>
          <w:szCs w:val="24"/>
          <w:lang w:eastAsia="it-IT"/>
        </w:rPr>
        <w:t xml:space="preserve"> Lavoisier ci permette di calcolare le emissioni di CO_2 partendo dal carbonio contenuto nel carburante (C + O_2 \rightarrow CO_2). Questo trasforma il monitoraggio da una stima qualitativa del fumo a una misurazione precisa dei grammi di CO_2 emessi per chilometro (g/km).</w:t>
      </w:r>
    </w:p>
    <w:p w:rsidR="00116D9D" w:rsidRPr="00116D9D" w:rsidRDefault="00116D9D" w:rsidP="00116D9D">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116D9D">
        <w:rPr>
          <w:rFonts w:ascii="Times New Roman" w:eastAsia="Times New Roman" w:hAnsi="Times New Roman" w:cs="Times New Roman"/>
          <w:b/>
          <w:bCs/>
          <w:sz w:val="36"/>
          <w:szCs w:val="36"/>
          <w:lang w:eastAsia="it-IT"/>
        </w:rPr>
        <w:t>6. Preview Didattica: Verso il Bilanciamento Stechiometrico</w:t>
      </w:r>
    </w:p>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La Lezione 1.9 introdurrà il concetto di "contare gli atomi" come se si verificasse un manifesto di carico doganale. Se la massa totale non varia, ogni singolo atomo presente nei reagenti deve necessariamente comparire nei prodotti.</w:t>
      </w:r>
    </w:p>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Il bilanciamento stechiometrico rappresenta l’applicazione pratica dell’</w:t>
      </w:r>
      <w:r w:rsidRPr="00116D9D">
        <w:rPr>
          <w:rFonts w:ascii="Times New Roman" w:eastAsia="Times New Roman" w:hAnsi="Times New Roman" w:cs="Times New Roman"/>
          <w:i/>
          <w:iCs/>
          <w:sz w:val="24"/>
          <w:szCs w:val="24"/>
          <w:lang w:eastAsia="it-IT"/>
        </w:rPr>
        <w:t>Information Design</w:t>
      </w:r>
      <w:r w:rsidRPr="00116D9D">
        <w:rPr>
          <w:rFonts w:ascii="Times New Roman" w:eastAsia="Times New Roman" w:hAnsi="Times New Roman" w:cs="Times New Roman"/>
          <w:sz w:val="24"/>
          <w:szCs w:val="24"/>
          <w:lang w:eastAsia="it-IT"/>
        </w:rPr>
        <w:t xml:space="preserve"> atomico intuito da Democrito: le proprietà dei materiali cambiano perché cambia la </w:t>
      </w:r>
      <w:r w:rsidRPr="00116D9D">
        <w:rPr>
          <w:rFonts w:ascii="Times New Roman" w:eastAsia="Times New Roman" w:hAnsi="Times New Roman" w:cs="Times New Roman"/>
          <w:b/>
          <w:bCs/>
          <w:sz w:val="24"/>
          <w:szCs w:val="24"/>
          <w:lang w:eastAsia="it-IT"/>
        </w:rPr>
        <w:t>forma e la disposizione spaziale</w:t>
      </w:r>
      <w:r w:rsidRPr="00116D9D">
        <w:rPr>
          <w:rFonts w:ascii="Times New Roman" w:eastAsia="Times New Roman" w:hAnsi="Times New Roman" w:cs="Times New Roman"/>
          <w:sz w:val="24"/>
          <w:szCs w:val="24"/>
          <w:lang w:eastAsia="it-IT"/>
        </w:rPr>
        <w:t xml:space="preserve"> degli atomi, ma la loro quantità totale è un dato certo. Bilanciare una reazione significa assicurare che il manifesto di carico atomico sia in perfetto equilibrio tra ingresso e uscita.</w:t>
      </w:r>
    </w:p>
    <w:p w:rsidR="00116D9D" w:rsidRPr="00116D9D" w:rsidRDefault="00116D9D" w:rsidP="00116D9D">
      <w:pPr>
        <w:spacing w:before="100" w:beforeAutospacing="1" w:after="100" w:afterAutospacing="1" w:line="240" w:lineRule="auto"/>
        <w:outlineLvl w:val="1"/>
        <w:rPr>
          <w:rFonts w:ascii="Times New Roman" w:eastAsia="Times New Roman" w:hAnsi="Times New Roman" w:cs="Times New Roman"/>
          <w:b/>
          <w:bCs/>
          <w:sz w:val="36"/>
          <w:szCs w:val="36"/>
          <w:lang w:eastAsia="it-IT"/>
        </w:rPr>
      </w:pPr>
      <w:r w:rsidRPr="00116D9D">
        <w:rPr>
          <w:rFonts w:ascii="Times New Roman" w:eastAsia="Times New Roman" w:hAnsi="Times New Roman" w:cs="Times New Roman"/>
          <w:b/>
          <w:bCs/>
          <w:sz w:val="36"/>
          <w:szCs w:val="36"/>
          <w:lang w:eastAsia="it-IT"/>
        </w:rPr>
        <w:lastRenderedPageBreak/>
        <w:t>7. Strategie Inclusive e Glossario di Transizione (BES/DSA)</w:t>
      </w:r>
    </w:p>
    <w:p w:rsidR="00116D9D" w:rsidRPr="00116D9D" w:rsidRDefault="00116D9D" w:rsidP="00116D9D">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16D9D">
        <w:rPr>
          <w:rFonts w:ascii="Times New Roman" w:eastAsia="Times New Roman" w:hAnsi="Times New Roman" w:cs="Times New Roman"/>
          <w:b/>
          <w:bCs/>
          <w:sz w:val="27"/>
          <w:szCs w:val="27"/>
          <w:lang w:eastAsia="it-IT"/>
        </w:rPr>
        <w:t>Glossario Essenziale</w:t>
      </w:r>
    </w:p>
    <w:p w:rsidR="00116D9D" w:rsidRPr="00116D9D" w:rsidRDefault="00116D9D" w:rsidP="00116D9D">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b/>
          <w:bCs/>
          <w:sz w:val="24"/>
          <w:szCs w:val="24"/>
          <w:lang w:eastAsia="it-IT"/>
        </w:rPr>
        <w:t>Massa:</w:t>
      </w:r>
      <w:r w:rsidRPr="00116D9D">
        <w:rPr>
          <w:rFonts w:ascii="Times New Roman" w:eastAsia="Times New Roman" w:hAnsi="Times New Roman" w:cs="Times New Roman"/>
          <w:sz w:val="24"/>
          <w:szCs w:val="24"/>
          <w:lang w:eastAsia="it-IT"/>
        </w:rPr>
        <w:t xml:space="preserve"> Quantità misurabile di materia che resta costante in un sistema chiuso.</w:t>
      </w:r>
    </w:p>
    <w:p w:rsidR="00116D9D" w:rsidRPr="00116D9D" w:rsidRDefault="00116D9D" w:rsidP="00116D9D">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b/>
          <w:bCs/>
          <w:sz w:val="24"/>
          <w:szCs w:val="24"/>
          <w:lang w:eastAsia="it-IT"/>
        </w:rPr>
        <w:t>Reagenti:</w:t>
      </w:r>
      <w:r w:rsidRPr="00116D9D">
        <w:rPr>
          <w:rFonts w:ascii="Times New Roman" w:eastAsia="Times New Roman" w:hAnsi="Times New Roman" w:cs="Times New Roman"/>
          <w:sz w:val="24"/>
          <w:szCs w:val="24"/>
          <w:lang w:eastAsia="it-IT"/>
        </w:rPr>
        <w:t xml:space="preserve"> Sostanze iniziali che entrano in una trasformazione (Input).</w:t>
      </w:r>
    </w:p>
    <w:p w:rsidR="00116D9D" w:rsidRPr="00116D9D" w:rsidRDefault="00116D9D" w:rsidP="00116D9D">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b/>
          <w:bCs/>
          <w:sz w:val="24"/>
          <w:szCs w:val="24"/>
          <w:lang w:eastAsia="it-IT"/>
        </w:rPr>
        <w:t>Prodotti:</w:t>
      </w:r>
      <w:r w:rsidRPr="00116D9D">
        <w:rPr>
          <w:rFonts w:ascii="Times New Roman" w:eastAsia="Times New Roman" w:hAnsi="Times New Roman" w:cs="Times New Roman"/>
          <w:sz w:val="24"/>
          <w:szCs w:val="24"/>
          <w:lang w:eastAsia="it-IT"/>
        </w:rPr>
        <w:t xml:space="preserve"> Nuove sostanze ottenute dopo la trasformazione (Output).</w:t>
      </w:r>
    </w:p>
    <w:p w:rsidR="00116D9D" w:rsidRPr="00116D9D" w:rsidRDefault="00116D9D" w:rsidP="00116D9D">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b/>
          <w:bCs/>
          <w:sz w:val="24"/>
          <w:szCs w:val="24"/>
          <w:lang w:eastAsia="it-IT"/>
        </w:rPr>
        <w:t>Sistema Chiuso:</w:t>
      </w:r>
      <w:r w:rsidRPr="00116D9D">
        <w:rPr>
          <w:rFonts w:ascii="Times New Roman" w:eastAsia="Times New Roman" w:hAnsi="Times New Roman" w:cs="Times New Roman"/>
          <w:sz w:val="24"/>
          <w:szCs w:val="24"/>
          <w:lang w:eastAsia="it-IT"/>
        </w:rPr>
        <w:t xml:space="preserve"> Un ambiente delimitato che non scambia massa con l'esterno, come un </w:t>
      </w:r>
      <w:r w:rsidRPr="00116D9D">
        <w:rPr>
          <w:rFonts w:ascii="Times New Roman" w:eastAsia="Times New Roman" w:hAnsi="Times New Roman" w:cs="Times New Roman"/>
          <w:b/>
          <w:bCs/>
          <w:sz w:val="24"/>
          <w:szCs w:val="24"/>
          <w:lang w:eastAsia="it-IT"/>
        </w:rPr>
        <w:t>serbatoio sigillato</w:t>
      </w:r>
      <w:r w:rsidRPr="00116D9D">
        <w:rPr>
          <w:rFonts w:ascii="Times New Roman" w:eastAsia="Times New Roman" w:hAnsi="Times New Roman" w:cs="Times New Roman"/>
          <w:sz w:val="24"/>
          <w:szCs w:val="24"/>
          <w:lang w:eastAsia="it-IT"/>
        </w:rPr>
        <w:t xml:space="preserve"> o un circuito di raffreddamento a tenuta ermetica.</w:t>
      </w:r>
    </w:p>
    <w:p w:rsidR="00116D9D" w:rsidRPr="00116D9D" w:rsidRDefault="00116D9D" w:rsidP="00116D9D">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116D9D">
        <w:rPr>
          <w:rFonts w:ascii="Times New Roman" w:eastAsia="Times New Roman" w:hAnsi="Times New Roman" w:cs="Times New Roman"/>
          <w:b/>
          <w:bCs/>
          <w:sz w:val="27"/>
          <w:szCs w:val="27"/>
          <w:lang w:eastAsia="it-IT"/>
        </w:rPr>
        <w:t>Scaffolding Cognitivo</w:t>
      </w:r>
    </w:p>
    <w:p w:rsidR="00116D9D" w:rsidRPr="00116D9D" w:rsidRDefault="00116D9D" w:rsidP="00116D9D">
      <w:pPr>
        <w:spacing w:before="100" w:beforeAutospacing="1" w:after="100" w:afterAutospacing="1" w:line="240" w:lineRule="auto"/>
        <w:rPr>
          <w:rFonts w:ascii="Times New Roman" w:eastAsia="Times New Roman" w:hAnsi="Times New Roman" w:cs="Times New Roman"/>
          <w:sz w:val="24"/>
          <w:szCs w:val="24"/>
          <w:lang w:eastAsia="it-IT"/>
        </w:rPr>
      </w:pPr>
      <w:r w:rsidRPr="00116D9D">
        <w:rPr>
          <w:rFonts w:ascii="Times New Roman" w:eastAsia="Times New Roman" w:hAnsi="Times New Roman" w:cs="Times New Roman"/>
          <w:sz w:val="24"/>
          <w:szCs w:val="24"/>
          <w:lang w:eastAsia="it-IT"/>
        </w:rPr>
        <w:t xml:space="preserve">Per facilitare la comprensione della conservazione della massa, si raccomanda l'uso di </w:t>
      </w:r>
      <w:r w:rsidRPr="00116D9D">
        <w:rPr>
          <w:rFonts w:ascii="Times New Roman" w:eastAsia="Times New Roman" w:hAnsi="Times New Roman" w:cs="Times New Roman"/>
          <w:b/>
          <w:bCs/>
          <w:sz w:val="24"/>
          <w:szCs w:val="24"/>
          <w:lang w:eastAsia="it-IT"/>
        </w:rPr>
        <w:t>diagrammi di flusso "In = Out"</w:t>
      </w:r>
      <w:r w:rsidRPr="00116D9D">
        <w:rPr>
          <w:rFonts w:ascii="Times New Roman" w:eastAsia="Times New Roman" w:hAnsi="Times New Roman" w:cs="Times New Roman"/>
          <w:sz w:val="24"/>
          <w:szCs w:val="24"/>
          <w:lang w:eastAsia="it-IT"/>
        </w:rPr>
        <w:t>. Questi strumenti permettono di visualizzare graficamente che la somma delle masse in entrata deve sempre uguagliare quella in uscita, riducendo la dipendenza dalla narrazione testuale e supportando la memorizzazione visiva del principio di Lavoisier tramite analogie con i flussi di magazzino.</w:t>
      </w:r>
    </w:p>
    <w:p w:rsidR="00B83941" w:rsidRDefault="00B83941">
      <w:bookmarkStart w:id="0" w:name="_GoBack"/>
      <w:bookmarkEnd w:id="0"/>
    </w:p>
    <w:sectPr w:rsidR="00B8394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F2A78"/>
    <w:multiLevelType w:val="multilevel"/>
    <w:tmpl w:val="082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602AB"/>
    <w:multiLevelType w:val="multilevel"/>
    <w:tmpl w:val="F3F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DC31C3"/>
    <w:multiLevelType w:val="multilevel"/>
    <w:tmpl w:val="6048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D9D"/>
    <w:rsid w:val="00116D9D"/>
    <w:rsid w:val="00B8394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C5D214-BBC6-4F2F-A34F-F04B5A8FD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link w:val="Titolo1Carattere"/>
    <w:uiPriority w:val="9"/>
    <w:qFormat/>
    <w:rsid w:val="00116D9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link w:val="Titolo2Carattere"/>
    <w:uiPriority w:val="9"/>
    <w:qFormat/>
    <w:rsid w:val="00116D9D"/>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116D9D"/>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16D9D"/>
    <w:rPr>
      <w:rFonts w:ascii="Times New Roman" w:eastAsia="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116D9D"/>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116D9D"/>
    <w:rPr>
      <w:rFonts w:ascii="Times New Roman" w:eastAsia="Times New Roman" w:hAnsi="Times New Roman" w:cs="Times New Roman"/>
      <w:b/>
      <w:bCs/>
      <w:sz w:val="27"/>
      <w:szCs w:val="27"/>
      <w:lang w:eastAsia="it-IT"/>
    </w:rPr>
  </w:style>
  <w:style w:type="paragraph" w:styleId="NormaleWeb">
    <w:name w:val="Normal (Web)"/>
    <w:basedOn w:val="Normale"/>
    <w:uiPriority w:val="99"/>
    <w:semiHidden/>
    <w:unhideWhenUsed/>
    <w:rsid w:val="00116D9D"/>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7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1018</Words>
  <Characters>5807</Characters>
  <Application>Microsoft Office Word</Application>
  <DocSecurity>0</DocSecurity>
  <Lines>48</Lines>
  <Paragraphs>13</Paragraphs>
  <ScaleCrop>false</ScaleCrop>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Gianluigi Roscigno</dc:creator>
  <cp:keywords/>
  <dc:description/>
  <cp:lastModifiedBy>Gianluigi Roscigno</cp:lastModifiedBy>
  <cp:revision>1</cp:revision>
  <dcterms:created xsi:type="dcterms:W3CDTF">2026-06-23T09:42:00Z</dcterms:created>
  <dcterms:modified xsi:type="dcterms:W3CDTF">2026-06-23T09:42:00Z</dcterms:modified>
</cp:coreProperties>
</file>