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Exposure Simulation Methodology</w:t>
      </w:r>
    </w:p>
    <w:p>
      <w:r>
        <w:t>Step-by-step description of the Monte Carlo exposure simulation implemented in Exposure_ASW.py.</w:t>
      </w:r>
    </w:p>
    <w:p>
      <w:r>
        <w:t>This document is auto-generated from the code to ensure it reflects the actual implementation, not an idealised version.</w:t>
      </w:r>
    </w:p>
    <w:p>
      <w:pPr>
        <w:pStyle w:val="Heading1"/>
      </w:pPr>
      <w:r>
        <w:t>1  Overview</w:t>
      </w:r>
    </w:p>
    <w:p>
      <w:r>
        <w:t>The simulation computes forward mark-to-market (MtM) profiles for four interest-rate swap structures sharing the same underlying bond (BTP 3.45%, semi-annual, maturing 1 Feb 2036) and the same ESTR/OIS discount curve.  It uses 1,500 Monte Carlo paths of parallel curve shifts over 100 equally-spaced observation dates from the valuation date to maturity.  All four structures share the same set of random paths so that their exposure profiles are directly comparable.</w:t>
      </w:r>
    </w:p>
    <w:p>
      <w:r>
        <w:t>The four structures are:</w:t>
      </w:r>
    </w:p>
    <w:p>
      <w:pPr>
        <w:pStyle w:val="ListBullet"/>
      </w:pPr>
      <w:r>
        <w:t>Structures 1–3: Par-par asset swaps with bond dirty prices P = 100, 90, and 110.</w:t>
      </w:r>
    </w:p>
    <w:p>
      <w:pPr>
        <w:pStyle w:val="ListBullet"/>
      </w:pPr>
      <w:r>
        <w:t>Structure 4: Fix-for-fix differential swap (bank receives 3.50% fixed, pays 3.00% fixed).</w:t>
      </w:r>
    </w:p>
    <w:p>
      <w:r>
        <w:t>The output consists of EPE, ENE, PFE (95th percentile) and NFE (5th percentile) profiles, plus sample-path plots, for each structure.</w:t>
      </w:r>
    </w:p>
    <w:p>
      <w:pPr>
        <w:pStyle w:val="Heading1"/>
      </w:pPr>
      <w:r>
        <w:t>2  Base Yield Curve Construction</w:t>
      </w:r>
    </w:p>
    <w:p>
      <w:r>
        <w:t>A single base discount curve is built from 11 pillar zero rates (1W, 1Y, 2Y, …, 10Y) hard-coded in OIS_ZEROS.  The curve is constructed using QuantLib’s ZeroCurve class with linear interpolation and continuous compounding.</w:t>
      </w:r>
    </w:p>
    <w:p>
      <w:pPr>
        <w:spacing w:before="40" w:after="40"/>
        <w:ind w:left="576"/>
      </w:pPr>
      <w:r>
        <w:rPr>
          <w:rFonts w:ascii="Consolas" w:hAnsi="Consolas"/>
          <w:color w:val="333333"/>
          <w:sz w:val="19"/>
        </w:rPr>
        <w:t>curve = ql.ZeroCurve(pillar_dates, rates, ois_dc, calendar,</w:t>
        <w:br/>
        <w:t xml:space="preserve">                     ql.Linear(), ql.Continuous, ql.Annual)</w:t>
      </w:r>
    </w:p>
    <w:p>
      <w:r>
        <w:t>The function build_ois_curve() (line 88) prepends the today-date rate (equal to the 1W rate) to the pillar list so that QuantLib has a reference point at t = 0.  Extrapolation is enabled so discount factors can be queried beyond the 10Y pillar.</w:t>
      </w:r>
    </w:p>
    <w:p>
      <w:r>
        <w:rPr>
          <w:b/>
          <w:color w:val="C62828"/>
        </w:rPr>
        <w:t xml:space="preserve">Simplification: </w:t>
      </w:r>
      <w:r>
        <w:rPr>
          <w:i/>
        </w:rPr>
        <w:t>The day-count convention used for the OIS curve is Actual/365 Fixed (ois_dc), while the bond accrual uses ActualActual ISMA (bond_dc).  A single curve is used for both discounting and forward-rate projection — there is no separate 6M Euribor or forward curve.</w:t>
      </w:r>
    </w:p>
    <w:p>
      <w:pPr>
        <w:pStyle w:val="Heading1"/>
      </w:pPr>
      <w:r>
        <w:t>3  Bond Schedule and Coupon Data</w:t>
      </w:r>
    </w:p>
    <w:p>
      <w:r>
        <w:t>A QuantLib Schedule is built from the last coupon date (1 Feb 2026) to maturity (1 Feb 2036) with semi-annual frequency, backward generation, and Modified Following business-day convention on the TARGET calendar.</w:t>
      </w:r>
    </w:p>
    <w:p>
      <w:pPr>
        <w:spacing w:before="40" w:after="40"/>
        <w:ind w:left="576"/>
      </w:pPr>
      <w:r>
        <w:rPr>
          <w:rFonts w:ascii="Consolas" w:hAnsi="Consolas"/>
          <w:color w:val="333333"/>
          <w:sz w:val="19"/>
        </w:rPr>
        <w:t>schedule = ql.Schedule(</w:t>
        <w:br/>
        <w:t xml:space="preserve">    BOND_LAST_COUPON_DATE, BOND_MATURITY,</w:t>
        <w:br/>
        <w:t xml:space="preserve">    ql.Period(COUPON_FREQUENCY), calendar,</w:t>
        <w:br/>
        <w:t xml:space="preserve">    ql.ModifiedFollowing, ql.ModifiedFollowing,</w:t>
        <w:br/>
        <w:t xml:space="preserve">    ql.DateGeneration.Backward, False)</w:t>
      </w:r>
    </w:p>
    <w:p>
      <w:r>
        <w:t>From this schedule the code extracts coupon_dates (coupon end dates after the settlement date) and their matching period_starts.  For each coupon period, the year fraction alpha is computed using the ActualActual ISMA day count.  These triples (period_start_serial, coupon_end_serial, alpha) are stored in coupon_data (line 194–197).</w:t>
      </w:r>
    </w:p>
    <w:p>
      <w:pPr>
        <w:pStyle w:val="Heading1"/>
      </w:pPr>
      <w:r>
        <w:t>4  Annuity and Par Swap Rate</w:t>
      </w:r>
    </w:p>
    <w:p>
      <w:r>
        <w:t>The annuity A is the present value of a unit annuity stream over all remaining coupon periods:</w:t>
      </w:r>
    </w:p>
    <w:p>
      <w:pPr>
        <w:spacing w:before="40" w:after="40"/>
        <w:ind w:left="576"/>
      </w:pPr>
      <w:r>
        <w:rPr>
          <w:rFonts w:ascii="Consolas" w:hAnsi="Consolas"/>
          <w:color w:val="333333"/>
          <w:sz w:val="19"/>
        </w:rPr>
        <w:t>A = Σ alpha_i × DF(0, t_i)</w:t>
      </w:r>
    </w:p>
    <w:p>
      <w:r>
        <w:t>where alpha_i is the year fraction of coupon period i and DF(0, t_i) is the discount factor from the base OIS curve to coupon date t_i.</w:t>
      </w:r>
    </w:p>
    <w:p>
      <w:r>
        <w:t>The par swap rate r_s is the fixed rate that makes a plain-vanilla fix-float swap worth zero at inception:</w:t>
      </w:r>
    </w:p>
    <w:p>
      <w:pPr>
        <w:spacing w:before="40" w:after="40"/>
        <w:ind w:left="576"/>
      </w:pPr>
      <w:r>
        <w:rPr>
          <w:rFonts w:ascii="Consolas" w:hAnsi="Consolas"/>
          <w:color w:val="333333"/>
          <w:sz w:val="19"/>
        </w:rPr>
        <w:t>r_s = (1 – DF(0, T)) / A</w:t>
      </w:r>
    </w:p>
    <w:p>
      <w:r>
        <w:t>Both quantities are computed in section [5] of the code (lines 125–132).</w:t>
      </w:r>
    </w:p>
    <w:p>
      <w:pPr>
        <w:pStyle w:val="Heading1"/>
      </w:pPr>
      <w:r>
        <w:t>5  ASW Spread and Inception MtM</w:t>
      </w:r>
    </w:p>
    <w:p>
      <w:r>
        <w:t>For each of the three bond-price scenarios (P = 100, 90, 110), the par-par asset swap spread is computed as:</w:t>
      </w:r>
    </w:p>
    <w:p>
      <w:pPr>
        <w:spacing w:before="40" w:after="40"/>
        <w:ind w:left="576"/>
      </w:pPr>
      <w:r>
        <w:rPr>
          <w:rFonts w:ascii="Consolas" w:hAnsi="Consolas"/>
          <w:color w:val="333333"/>
          <w:sz w:val="19"/>
        </w:rPr>
        <w:t>ASW = (c – r_s) + (N – P) / (N × A)</w:t>
      </w:r>
    </w:p>
    <w:p>
      <w:r>
        <w:t>where c = 3.45% is the bond coupon rate, N = 100 is the notional (expressed as a percentage), and P is the bond dirty price.</w:t>
      </w:r>
    </w:p>
    <w:p>
      <w:r>
        <w:t>The inception MtM of the swap is verified to satisfy:</w:t>
      </w:r>
    </w:p>
    <w:p>
      <w:pPr>
        <w:spacing w:before="40" w:after="40"/>
        <w:ind w:left="576"/>
      </w:pPr>
      <w:r>
        <w:rPr>
          <w:rFonts w:ascii="Consolas" w:hAnsi="Consolas"/>
          <w:color w:val="333333"/>
          <w:sz w:val="19"/>
        </w:rPr>
        <w:t>MtM_0 = N × (1 – DF(0,T)) + (ASW – c) × N × A</w:t>
        <w:br/>
        <w:t xml:space="preserve">      = 100 – P</w:t>
      </w:r>
    </w:p>
    <w:p>
      <w:r>
        <w:t>This identity is checked explicitly in the output: MtM + P must equal 100 for each scenario (lines 150–158).</w:t>
      </w:r>
    </w:p>
    <w:p>
      <w:pPr>
        <w:pStyle w:val="Heading1"/>
      </w:pPr>
      <w:r>
        <w:t>6  Tenor Grid (Observation Dates)</w:t>
      </w:r>
    </w:p>
    <w:p>
      <w:r>
        <w:t>The simulation evaluates MtM at N_TENORS + 1 = 101 observation dates, equally spaced in serial-number space from today to maturity:</w:t>
      </w:r>
    </w:p>
    <w:p>
      <w:pPr>
        <w:spacing w:before="40" w:after="40"/>
        <w:ind w:left="576"/>
      </w:pPr>
      <w:r>
        <w:rPr>
          <w:rFonts w:ascii="Consolas" w:hAnsi="Consolas"/>
          <w:color w:val="333333"/>
          <w:sz w:val="19"/>
        </w:rPr>
        <w:t>tenor_serial = np.linspace(today_serial, maturity_serial,</w:t>
        <w:br/>
        <w:t xml:space="preserve">                           N_TENORS + 1, dtype=int)</w:t>
        <w:br/>
        <w:t>tenor_serial = np.unique(tenor_serial)</w:t>
      </w:r>
    </w:p>
    <w:p>
      <w:r>
        <w:t>The np.unique call removes any duplicates that arise from rounding to integer serial numbers.  Each serial number is converted to a QuantLib Date object (tenor_dates) and to a year fraction from today (tenor_years), using the Actual/365 Fixed convention.</w:t>
      </w:r>
    </w:p>
    <w:p>
      <w:r>
        <w:rPr>
          <w:b/>
          <w:color w:val="C62828"/>
        </w:rPr>
        <w:t xml:space="preserve">Simplification: </w:t>
      </w:r>
      <w:r>
        <w:rPr>
          <w:i/>
        </w:rPr>
        <w:t>The grid is equally spaced in calendar days, not in year fractions.  This means observation density is uniform across the life of the trade, with approximately one observation every 36 days for a ~10-year bond.  The dense grid is important for capturing the fix-for-fix sawtooth pattern: with only 10–20 annual observation dates, observation points can coincide with coupon dates, hiding the step-downs in A_rem.</w:t>
      </w:r>
    </w:p>
    <w:p>
      <w:pPr>
        <w:pStyle w:val="Heading1"/>
      </w:pPr>
      <w:r>
        <w:t>7  Pre-computation of Base Discount Factors</w:t>
      </w:r>
    </w:p>
    <w:p>
      <w:r>
        <w:t>Before the simulation loop, the code queries the QuantLib curve once for every date that will be needed: all coupon dates, the maturity date, all observation dates, and all period start dates.  The results are stored in two dictionaries keyed by serial number:</w:t>
      </w:r>
    </w:p>
    <w:p>
      <w:pPr>
        <w:pStyle w:val="ListBullet"/>
      </w:pPr>
      <w:r>
        <w:t>base_dfs[serial]: the base discount factor DF(0, d) from the OIS curve.</w:t>
      </w:r>
    </w:p>
    <w:p>
      <w:pPr>
        <w:pStyle w:val="ListBullet"/>
      </w:pPr>
      <w:r>
        <w:t>date_years[serial]: the year fraction from today to d, using Actual/365 Fixed.</w:t>
      </w:r>
    </w:p>
    <w:p>
      <w:r>
        <w:t>This avoids repeated QuantLib curve lookups inside the Monte Carlo loop and enables purely NumPy-based analytical shifting.</w:t>
      </w:r>
    </w:p>
    <w:p>
      <w:pPr>
        <w:pStyle w:val="Heading1"/>
      </w:pPr>
      <w:r>
        <w:t>8  Random Shift Generation</w:t>
      </w:r>
    </w:p>
    <w:p>
      <w:r>
        <w:t>The yield-curve shifts are generated as a cumulative random walk.  At each of the 101 observation dates, an increment is drawn from N(0, σ) with σ = 0.010 (i.e., 100 basis points per step).  The increments are then cumulated across time:</w:t>
      </w:r>
    </w:p>
    <w:p>
      <w:pPr>
        <w:spacing w:before="40" w:after="40"/>
        <w:ind w:left="576"/>
      </w:pPr>
      <w:r>
        <w:rPr>
          <w:rFonts w:ascii="Consolas" w:hAnsi="Consolas"/>
          <w:color w:val="333333"/>
          <w:sz w:val="19"/>
        </w:rPr>
        <w:t>increments = np.random.normal(0.0, SIGMA,</w:t>
        <w:br/>
        <w:t xml:space="preserve">                              size=(N_PATHS, len(tenor_dates)))</w:t>
        <w:br/>
        <w:t>increments[:, 0] = 0.0</w:t>
        <w:br/>
        <w:t>shifts = np.cumsum(increments, axis=1)</w:t>
      </w:r>
    </w:p>
    <w:p>
      <w:r>
        <w:t>This produces shifts as a (1500 × 101) matrix.  The first column is always zero (no shift at inception).  For path p at observation date t, the cumulative shift is dz[p, t].  This shift is a parallel additive displacement applied to all zero rates simultaneously.</w:t>
      </w:r>
    </w:p>
    <w:p>
      <w:r>
        <w:t>At observation date t (which is step t in the random walk), the cumulative shift has standard deviation σ√t.  For the final observation (step 100), this is σ√100 = 10σ = 0.10 (10%).  The random seed is fixed at 42 for reproducibility.</w:t>
      </w:r>
    </w:p>
    <w:p>
      <w:r>
        <w:rPr>
          <w:b/>
          <w:color w:val="C62828"/>
        </w:rPr>
        <w:t xml:space="preserve">Simplification: </w:t>
      </w:r>
      <w:r>
        <w:rPr>
          <w:i/>
        </w:rPr>
        <w:t>The shift model is a parallel (level) shift only — there is no slope, curvature, or tenor-specific component.  All zero rates move by the same amount at each step.  This is a significant simplification compared to multi-factor models (e.g., PCA-based or LMM).  Additionally, the increments have constant volatility σ at every step regardless of the rate level (a normal/Bachelier model), as opposed to a log-normal model where volatility would scale with the rate level.</w:t>
      </w:r>
    </w:p>
    <w:p>
      <w:r>
        <w:rPr>
          <w:b/>
          <w:color w:val="C62828"/>
        </w:rPr>
        <w:t xml:space="preserve">Simplification: </w:t>
      </w:r>
      <w:r>
        <w:rPr>
          <w:i/>
        </w:rPr>
        <w:t>There is no square-root-of-time scaling between steps.  Each increment has the same standard deviation σ regardless of the time gap between observation dates.  In a standard Brownian motion discretisation, the increment variance would be σ²Δt; here, Δt is implicitly set to 1 for every step.  This means the total variance at the final step is N_TENORS × σ², rather than T × σ² as in a continuous-time model.</w:t>
      </w:r>
    </w:p>
    <w:p>
      <w:pPr>
        <w:pStyle w:val="Heading1"/>
      </w:pPr>
      <w:r>
        <w:t>9  Analytical Discount-Factor Shifting</w:t>
      </w:r>
    </w:p>
    <w:p>
      <w:r>
        <w:t>Rather than rebuilding the QuantLib yield curve for every path and every observation date (which would be prohibitively slow for 1,500 × 101 = 151,500 curve constructions), the code applies an analytical shift to the pre-computed base discount factors.</w:t>
      </w:r>
    </w:p>
    <w:p>
      <w:r>
        <w:t>Given a parallel shift dz to all zero rates, the shifted discount factor from the observation date obs to a future date e is:</w:t>
      </w:r>
    </w:p>
    <w:p>
      <w:pPr>
        <w:spacing w:before="40" w:after="40"/>
        <w:ind w:left="576"/>
      </w:pPr>
      <w:r>
        <w:rPr>
          <w:rFonts w:ascii="Consolas" w:hAnsi="Consolas"/>
          <w:color w:val="333333"/>
          <w:sz w:val="19"/>
        </w:rPr>
        <w:t>DF_fwd_shifted(obs, e) = [DF_base(0, e) / DF_base(0, obs)]</w:t>
        <w:br/>
        <w:t xml:space="preserve">                       × exp(–dz × (t_e – t_obs))</w:t>
      </w:r>
    </w:p>
    <w:p>
      <w:r>
        <w:t>where t_e and t_obs are year fractions from today to the respective dates.  The first factor, DF_base(0,e)/DF_base(0,obs), is the unshifted forward discount factor.  The exponential applies the parallel shift to the forward rate over the remaining tenor.</w:t>
      </w:r>
    </w:p>
    <w:p>
      <w:r>
        <w:t>In the code (lines 242–246, inside the main loop):</w:t>
      </w:r>
    </w:p>
    <w:p>
      <w:pPr>
        <w:spacing w:before="40" w:after="40"/>
        <w:ind w:left="576"/>
      </w:pPr>
      <w:r>
        <w:rPr>
          <w:rFonts w:ascii="Consolas" w:hAnsi="Consolas"/>
          <w:color w:val="333333"/>
          <w:sz w:val="19"/>
        </w:rPr>
        <w:t>df_fwd_e = (df_base_e / obs_df_base) * np.exp(-dz * (t_e - obs_t))</w:t>
      </w:r>
    </w:p>
    <w:p>
      <w:r>
        <w:t>This is fully vectorised over all 1,500 paths: dz is a 1-D array of length N_PATHS, and the multiplication and exponentiation are element-wise NumPy operations.</w:t>
      </w:r>
    </w:p>
    <w:p>
      <w:r>
        <w:rPr>
          <w:b/>
          <w:color w:val="C62828"/>
        </w:rPr>
        <w:t xml:space="preserve">Simplification: </w:t>
      </w:r>
      <w:r>
        <w:rPr>
          <w:i/>
        </w:rPr>
        <w:t>This formula is exact for flat (parallel) shifts applied to continuously-compounded zero rates.  If the shifts were tenor-dependent (e.g., steepeners/flatteners), this shortcut would not work and a full curve rebuild would be needed.  The formula also assumes the base curve uses continuous compounding, which matches the ql.Continuous setting in build_ois_curve().</w:t>
      </w:r>
    </w:p>
    <w:p>
      <w:pPr>
        <w:pStyle w:val="Heading1"/>
      </w:pPr>
      <w:r>
        <w:t>10  Main Simulation Loop: A_rem and DF_fwd_T</w:t>
      </w:r>
    </w:p>
    <w:p>
      <w:r>
        <w:t>The heart of the simulation is a loop over all observation dates (section [10], lines 228–254).  For each observation date, the code computes two quantities across all 1,500 paths simultaneously:</w:t>
      </w:r>
    </w:p>
    <w:p>
      <w:pPr>
        <w:pStyle w:val="ListBullet"/>
      </w:pPr>
      <w:r>
        <w:t>arr_A_rem[path, t]: the remaining annuity from the observation date to maturity, computed using shifted forward discount factors.  This is the sum of alpha_i × DF_fwd_shifted(obs, t_i) over all coupon dates t_i that fall after the observation date.</w:t>
      </w:r>
    </w:p>
    <w:p>
      <w:pPr>
        <w:pStyle w:val="ListBullet"/>
      </w:pPr>
      <w:r>
        <w:t>arr_df_fwd_T[path, t]: the shifted forward discount factor from the observation date to the bond maturity, DF_fwd_shifted(obs, T).</w:t>
      </w:r>
    </w:p>
    <w:p>
      <w:r>
        <w:t>Both arrays are initialised before the loop:</w:t>
      </w:r>
    </w:p>
    <w:p>
      <w:pPr>
        <w:spacing w:before="40" w:after="40"/>
        <w:ind w:left="576"/>
      </w:pPr>
      <w:r>
        <w:rPr>
          <w:rFonts w:ascii="Consolas" w:hAnsi="Consolas"/>
          <w:color w:val="333333"/>
          <w:sz w:val="19"/>
        </w:rPr>
        <w:t>arr_A_rem    = np.zeros((N_PATHS, len(tenor_dates)))</w:t>
        <w:br/>
        <w:t>arr_df_fwd_T = np.ones((N_PATHS, len(tenor_dates)))</w:t>
      </w:r>
    </w:p>
    <w:p>
      <w:r>
        <w:t>arr_df_fwd_T is initialised to ones (not zeros) so that for observation dates at or after maturity (where no remaining coupons exist and the loop body is skipped via 'if not rem_coupons: continue'), the forward DF defaults to 1.  This ensures the MtM formula yields zero at maturity: N × (1 – 1) = 0.</w:t>
      </w:r>
    </w:p>
    <w:p>
      <w:r>
        <w:t>For each observation date, the loop:</w:t>
      </w:r>
    </w:p>
    <w:p>
      <w:pPr>
        <w:pStyle w:val="ListBullet"/>
      </w:pPr>
      <w:r>
        <w:t>Retrieves the cumulative shift vector dz = shifts[:, t_idx] (length N_PATHS).</w:t>
      </w:r>
    </w:p>
    <w:p>
      <w:pPr>
        <w:pStyle w:val="ListBullet"/>
      </w:pPr>
      <w:r>
        <w:t>Identifies remaining coupons: periods where the coupon end date is strictly after the observation date serial number.</w:t>
      </w:r>
    </w:p>
    <w:p>
      <w:pPr>
        <w:pStyle w:val="ListBullet"/>
      </w:pPr>
      <w:r>
        <w:t>Computes the remaining annuity by summing alpha_i × DF_fwd_shifted(obs, t_i) over all remaining coupon periods.</w:t>
      </w:r>
    </w:p>
    <w:p>
      <w:pPr>
        <w:pStyle w:val="ListBullet"/>
      </w:pPr>
      <w:r>
        <w:t>Computes DF_fwd_shifted(obs, T) for the maturity date.</w:t>
      </w:r>
    </w:p>
    <w:p>
      <w:r>
        <w:rPr>
          <w:b/>
          <w:color w:val="C62828"/>
        </w:rPr>
        <w:t xml:space="preserve">Simplification: </w:t>
      </w:r>
      <w:r>
        <w:rPr>
          <w:i/>
        </w:rPr>
        <w:t>The ‘remaining coupons’ filter uses a strict inequality: 'e_ser &gt; obs_serial'.  A coupon whose end date exactly matches the observation date is treated as already paid and excluded.  This drives the sawtooth pattern in the fix-for-fix profile: A_rem drops discretely whenever an observation date crosses a coupon date.</w:t>
      </w:r>
    </w:p>
    <w:p>
      <w:pPr>
        <w:pStyle w:val="Heading1"/>
      </w:pPr>
      <w:r>
        <w:t>11  MtM Revaluation — Asset Swap Scenarios</w:t>
      </w:r>
    </w:p>
    <w:p>
      <w:r>
        <w:t>Once arr_A_rem and arr_df_fwd_T are computed for all paths and tenors, the MtM for each ASW scenario is calculated as a simple array operation (section [11], lines 260–265):</w:t>
      </w:r>
    </w:p>
    <w:p>
      <w:pPr>
        <w:spacing w:before="40" w:after="40"/>
        <w:ind w:left="576"/>
      </w:pPr>
      <w:r>
        <w:rPr>
          <w:rFonts w:ascii="Consolas" w:hAnsi="Consolas"/>
          <w:color w:val="333333"/>
          <w:sz w:val="19"/>
        </w:rPr>
        <w:t>float_term = N × (1 – arr_df_fwd_T)</w:t>
        <w:br/>
        <w:t>MtM = float_term + (ASW – c) × N × arr_A_rem</w:t>
      </w:r>
    </w:p>
    <w:p>
      <w:r>
        <w:t>The first term captures the floating leg’s value change as interest rates move: when rates rise (positive shift), discount factors fall, and (1 – DF) increases.  The second term captures the fixed-rate differential between the ASW spread received and the bond coupon paid, accumulated over the remaining annuity.</w:t>
      </w:r>
    </w:p>
    <w:p>
      <w:r>
        <w:t>For the three scenarios:</w:t>
      </w:r>
    </w:p>
    <w:p>
      <w:pPr>
        <w:pStyle w:val="ListBullet"/>
      </w:pPr>
      <w:r>
        <w:t>P = 100 (par): ASW ≈ r_s, so (ASW – c) is small.  MtM_0 = 0.  Exposure is centred around zero.</w:t>
      </w:r>
    </w:p>
    <w:p>
      <w:pPr>
        <w:pStyle w:val="ListBullet"/>
      </w:pPr>
      <w:r>
        <w:t>P = 90 (discount): ASW &gt; r_s (positive spread differential).  MtM_0 = +10.  Exposure profile is shifted upward.</w:t>
      </w:r>
    </w:p>
    <w:p>
      <w:pPr>
        <w:pStyle w:val="ListBullet"/>
      </w:pPr>
      <w:r>
        <w:t>P = 110 (premium): ASW &lt; r_s (negative spread differential).  MtM_0 = –10.  Exposure profile is shifted downward.</w:t>
      </w:r>
    </w:p>
    <w:p>
      <w:r>
        <w:rPr>
          <w:b/>
          <w:color w:val="C62828"/>
        </w:rPr>
        <w:t xml:space="preserve">Simplification: </w:t>
      </w:r>
      <w:r>
        <w:rPr>
          <w:i/>
        </w:rPr>
        <w:t>The MtM is a FORWARD value at the observation date, not discounted back to t = 0.  The forward discount factors in the formula inherently divide out DF(0, obs), so the MtM represents the market value of the swap as seen from the observation date.  This is the standard convention for counterparty exposure calculations (the exposure at a future date is the replacement cost at that date, not its present value today).</w:t>
      </w:r>
    </w:p>
    <w:p>
      <w:pPr>
        <w:pStyle w:val="Heading1"/>
      </w:pPr>
      <w:r>
        <w:t>12  MtM Revaluation — Fix-for-Fix Swap</w:t>
      </w:r>
    </w:p>
    <w:p>
      <w:r>
        <w:t>The fix-for-fix differential swap has a simpler MtM formula (section [12], lines 278–280):</w:t>
      </w:r>
    </w:p>
    <w:p>
      <w:pPr>
        <w:spacing w:before="40" w:after="40"/>
        <w:ind w:left="576"/>
      </w:pPr>
      <w:r>
        <w:rPr>
          <w:rFonts w:ascii="Consolas" w:hAnsi="Consolas"/>
          <w:color w:val="333333"/>
          <w:sz w:val="19"/>
        </w:rPr>
        <w:t>MtM_fixfix = (c_recv – c_pay) × N × arr_A_rem</w:t>
        <w:br/>
        <w:t xml:space="preserve">           = 0.50% × 100 × arr_A_rem</w:t>
      </w:r>
    </w:p>
    <w:p>
      <w:r>
        <w:t>Since c_recv (3.50%) &gt; c_pay (3.00%), the MtM is always positive: the bank is always in the money.  The exposure is one-sided (EPE &gt; 0, ENE ≈ 0 everywhere).</w:t>
      </w:r>
    </w:p>
    <w:p>
      <w:r>
        <w:t>The sawtooth (zig-zag) pattern arises because arr_A_rem steps down discretely at each semi-annual coupon date.  Between coupon dates, A_rem changes smoothly (driven by DF changes and the passage of time), but at each coupon date the most recent coupon period drops out of the sum, causing a downward step.  Because the MtM is proportional to A_rem, it inherits this sawtooth shape.</w:t>
      </w:r>
    </w:p>
    <w:p>
      <w:pPr>
        <w:pStyle w:val="Heading1"/>
      </w:pPr>
      <w:r>
        <w:t>13  Exposure Metrics: EPE, ENE, PFE, NFE</w:t>
      </w:r>
    </w:p>
    <w:p>
      <w:r>
        <w:t>Exposure metrics are computed cross-sectionally (across paths) at each observation date by the function compute_exposure_metrics() (lines 292–297):</w:t>
      </w:r>
    </w:p>
    <w:p>
      <w:pPr>
        <w:spacing w:before="40" w:after="40"/>
        <w:ind w:left="576"/>
      </w:pPr>
      <w:r>
        <w:rPr>
          <w:rFonts w:ascii="Consolas" w:hAnsi="Consolas"/>
          <w:color w:val="333333"/>
          <w:sz w:val="19"/>
        </w:rPr>
        <w:t>epe = np.maximum(mtm, 0.0).mean(axis=0)</w:t>
        <w:br/>
        <w:t>ene = np.minimum(mtm, 0.0).mean(axis=0)</w:t>
        <w:br/>
        <w:t>pfe = np.percentile(mtm, 95, axis=0)</w:t>
        <w:br/>
        <w:t>nfe = np.percentile(mtm, 5, axis=0)</w:t>
      </w:r>
    </w:p>
    <w:p>
      <w:r>
        <w:t>Each metric is a 1-D array of length 101 (one value per observation date):</w:t>
      </w:r>
    </w:p>
    <w:p>
      <w:pPr>
        <w:pStyle w:val="ListBullet"/>
      </w:pPr>
      <w:r>
        <w:t>EPE (Expected Positive Exposure): the average of max(MtM, 0) across all paths.  Represents the expected replacement cost if the counterparty defaults at that date.</w:t>
      </w:r>
    </w:p>
    <w:p>
      <w:pPr>
        <w:pStyle w:val="ListBullet"/>
      </w:pPr>
      <w:r>
        <w:t>ENE (Expected Negative Exposure): the average of min(MtM, 0) across all paths.  Represents the expected exposure FROM the bank TO the counterparty (own-default risk).</w:t>
      </w:r>
    </w:p>
    <w:p>
      <w:pPr>
        <w:pStyle w:val="ListBullet"/>
      </w:pPr>
      <w:r>
        <w:t>PFE (Potential Future Exposure, 95th percentile): the 95th percentile of MtM across paths.  A high-confidence upper bound on the positive exposure.</w:t>
      </w:r>
    </w:p>
    <w:p>
      <w:pPr>
        <w:pStyle w:val="ListBullet"/>
      </w:pPr>
      <w:r>
        <w:t>NFE (Negative Future Exposure, 5th percentile): the 5th percentile of MtM across paths.  A high-confidence lower bound on the negative exposure.</w:t>
      </w:r>
    </w:p>
    <w:p>
      <w:r>
        <w:rPr>
          <w:b/>
          <w:color w:val="C62828"/>
        </w:rPr>
        <w:t xml:space="preserve">Simplification: </w:t>
      </w:r>
      <w:r>
        <w:rPr>
          <w:i/>
        </w:rPr>
        <w:t>These are unconditional, point-in-time metrics.  There is no time-averaging (e.g., no EPE integrated over time to get EEPE), no credit-adjustment (no PD or LGD weighting), and no netting-set aggregation.  The metrics are computed per structure, not across a portfolio.</w:t>
      </w:r>
    </w:p>
    <w:p>
      <w:r>
        <w:rPr>
          <w:b/>
          <w:color w:val="C62828"/>
        </w:rPr>
        <w:t xml:space="preserve">Simplification: </w:t>
      </w:r>
      <w:r>
        <w:rPr>
          <w:i/>
        </w:rPr>
        <w:t>Since the MtM values are forward (not discounted to t = 0), the EPE and PFE represent future-dated replacement costs.  To compute CVA one would need to discount these profiles back to t = 0 and multiply by a default probability density and loss-given-default, which is not done here.</w:t>
      </w:r>
    </w:p>
    <w:p>
      <w:pPr>
        <w:pStyle w:val="Heading1"/>
      </w:pPr>
      <w:r>
        <w:t>14  EPE / ENE Symmetry and the Normal Shift Model</w:t>
      </w:r>
    </w:p>
    <w:p>
      <w:r>
        <w:t>The code includes a diagnostic (section [14], lines 346–360) that examines whether EPE and |ENE| are symmetric for the par-bond scenario (MtM_0 = 0).  In a linear model, a symmetric shift distribution would produce perfectly symmetric MtM, hence EPE = |ENE|.</w:t>
      </w:r>
    </w:p>
    <w:p>
      <w:r>
        <w:t>However, the MtM formula contains exp(–dz × t), which is convex in dz.  By Jensen’s inequality, negative shifts (rate decreases) inflate discount factors exponentially (unbounded), while positive shifts compress them toward zero (bounded below by 0).  This creates a negatively skewed MtM distribution.</w:t>
      </w:r>
    </w:p>
    <w:p>
      <w:r>
        <w:t>With the current parameters (σ = 0.010, 100 steps), the cumulative shift standard deviation at the midpoint (~5Y) is approximately 7%.  This is large enough for the exp convexity to produce visible asymmetry: EPE / |ENE| ≈ 0.63 and MtM skewness ≈ –0.96 at the midpoint.</w:t>
      </w:r>
    </w:p>
    <w:p>
      <w:pPr>
        <w:pStyle w:val="Heading1"/>
      </w:pPr>
      <w:r>
        <w:t>15  Summary of Modelling Simplifications</w:t>
      </w:r>
    </w:p>
    <w:p>
      <w:r>
        <w:t>The following modelling simplifications are present in the current implementation.  These are appropriate for an educational demonstration but would need to be addressed in a production counterparty exposure system:</w:t>
      </w:r>
    </w:p>
    <w:p>
      <w:pPr>
        <w:pStyle w:val="ListBullet"/>
      </w:pPr>
      <w:r>
        <w:t>Parallel shifts only: all zero rates move by the same amount.  No slope, curvature, or basis risk is modelled.  A real system would use multi-factor models (e.g., 3-factor PCA or a Libor Market Model).</w:t>
      </w:r>
    </w:p>
    <w:p>
      <w:pPr>
        <w:pStyle w:val="ListBullet"/>
      </w:pPr>
      <w:r>
        <w:t>Normal (Bachelier) shift model: the increment dz is additive and rate-level-independent.  This allows negative rates and does not capture the empirically observed relationship between rate level and volatility.  A log-normal or shifted log-normal model is more common in practice.</w:t>
      </w:r>
    </w:p>
    <w:p>
      <w:pPr>
        <w:pStyle w:val="ListBullet"/>
      </w:pPr>
      <w:r>
        <w:t>No √Δt scaling: each random-walk increment has variance σ² regardless of the time gap between observations.  In a correctly discretised Brownian motion, the variance would be σ²Δt.  This means the total variance depends on the number of steps, not on physical time.</w:t>
      </w:r>
    </w:p>
    <w:p>
      <w:pPr>
        <w:pStyle w:val="ListBullet"/>
      </w:pPr>
      <w:r>
        <w:t>Single-curve framework: the same OIS curve is used for both discounting and forward-rate projection.  In a dual-curve framework (post-2008 standard), a separate IBOR/Euribor curve would be used for forward rates, and cross-currency basis would be modelled.</w:t>
      </w:r>
    </w:p>
    <w:p>
      <w:pPr>
        <w:pStyle w:val="ListBullet"/>
      </w:pPr>
      <w:r>
        <w:t>Static bond schedule: the coupon schedule is fixed at inception and does not change with business-day adjustments at future dates.  The simulation does not model coupon accrual or dirty/clean price effects.</w:t>
      </w:r>
    </w:p>
    <w:p>
      <w:pPr>
        <w:pStyle w:val="ListBullet"/>
      </w:pPr>
      <w:r>
        <w:t>No credit or funding adjustments: there is no probability of default, loss-given-default, or credit spread modelling.  The exposure profiles are pre-credit, not risk-adjusted (no CVA, DVA, or FVA).</w:t>
      </w:r>
    </w:p>
    <w:p>
      <w:pPr>
        <w:pStyle w:val="ListBullet"/>
      </w:pPr>
      <w:r>
        <w:t>No collateral or margining: the simulation assumes uncollateralised swaps.  In practice, margin agreements (CSA) would reduce exposure through regular collateral exchanges, and the margin period of risk would be the relevant exposure horizon.</w:t>
      </w:r>
    </w:p>
    <w:p>
      <w:pPr>
        <w:pStyle w:val="ListBullet"/>
      </w:pPr>
      <w:r>
        <w:t>Forward MtM (not discounted): the MtM at each observation date is a forward value, not discounted back to today.  This is standard for exposure profiles but means the values cannot be directly summed across dates without discounting.</w:t>
      </w:r>
    </w:p>
    <w:p>
      <w:pPr>
        <w:pStyle w:val="ListBullet"/>
      </w:pPr>
      <w:r>
        <w:t>Hard-coded curve data: the OIS zero rates are hard-coded constants, not sourced from a market data feed.  The simulation date is fixed at 24 April 2026.</w:t>
      </w:r>
    </w:p>
    <w:p>
      <w:pPr>
        <w:pStyle w:val="ListBullet"/>
      </w:pPr>
      <w:r>
        <w:t>Fixed random seed: np.random.seed(42) ensures reproducibility but means every run produces identical paths.  In a production system, multiple independent seeds or quasi-random sequences would be used for convergence testing.</w:t>
      </w:r>
    </w:p>
    <w:p>
      <w:pPr>
        <w:pStyle w:val="Heading1"/>
      </w:pPr>
      <w:r>
        <w:t>16  Code Structure Reference</w:t>
      </w:r>
    </w:p>
    <w:p>
      <w:r>
        <w:t>The table below maps each step to the relevant code section and key variables in Exposure_ASW.py.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Code Section / Lines</w:t>
            </w:r>
          </w:p>
        </w:tc>
        <w:tc>
          <w:tcPr>
            <w:tcW w:type="dxa" w:w="2880"/>
          </w:tcPr>
          <w:p>
            <w:r>
              <w:rPr>
                <w:b/>
              </w:rPr>
              <w:t>Key Variables</w:t>
            </w:r>
          </w:p>
        </w:tc>
      </w:tr>
      <w:tr>
        <w:tc>
          <w:tcPr>
            <w:tcW w:type="dxa" w:w="2880"/>
          </w:tcPr>
          <w:p>
            <w:r>
              <w:t>Base curve</w:t>
            </w:r>
          </w:p>
        </w:tc>
        <w:tc>
          <w:tcPr>
            <w:tcW w:type="dxa" w:w="2880"/>
          </w:tcPr>
          <w:p>
            <w:r>
              <w:t>[3] lines 88–98</w:t>
            </w:r>
          </w:p>
        </w:tc>
        <w:tc>
          <w:tcPr>
            <w:tcW w:type="dxa" w:w="2880"/>
          </w:tcPr>
          <w:p>
            <w:r>
              <w:t>base_curve, OIS_ZEROS</w:t>
            </w:r>
          </w:p>
        </w:tc>
      </w:tr>
      <w:tr>
        <w:tc>
          <w:tcPr>
            <w:tcW w:type="dxa" w:w="2880"/>
          </w:tcPr>
          <w:p>
            <w:r>
              <w:t>Bond schedule</w:t>
            </w:r>
          </w:p>
        </w:tc>
        <w:tc>
          <w:tcPr>
            <w:tcW w:type="dxa" w:w="2880"/>
          </w:tcPr>
          <w:p>
            <w:r>
              <w:t>[4] lines 103–120</w:t>
            </w:r>
          </w:p>
        </w:tc>
        <w:tc>
          <w:tcPr>
            <w:tcW w:type="dxa" w:w="2880"/>
          </w:tcPr>
          <w:p>
            <w:r>
              <w:t>schedule, coupon_dates, period_starts</w:t>
            </w:r>
          </w:p>
        </w:tc>
      </w:tr>
      <w:tr>
        <w:tc>
          <w:tcPr>
            <w:tcW w:type="dxa" w:w="2880"/>
          </w:tcPr>
          <w:p>
            <w:r>
              <w:t>Annuity &amp; r_s</w:t>
            </w:r>
          </w:p>
        </w:tc>
        <w:tc>
          <w:tcPr>
            <w:tcW w:type="dxa" w:w="2880"/>
          </w:tcPr>
          <w:p>
            <w:r>
              <w:t>[5] lines 125–132</w:t>
            </w:r>
          </w:p>
        </w:tc>
        <w:tc>
          <w:tcPr>
            <w:tcW w:type="dxa" w:w="2880"/>
          </w:tcPr>
          <w:p>
            <w:r>
              <w:t>annuity, df_T, r_s</w:t>
            </w:r>
          </w:p>
        </w:tc>
      </w:tr>
      <w:tr>
        <w:tc>
          <w:tcPr>
            <w:tcW w:type="dxa" w:w="2880"/>
          </w:tcPr>
          <w:p>
            <w:r>
              <w:t>ASW &amp; inception MtM</w:t>
            </w:r>
          </w:p>
        </w:tc>
        <w:tc>
          <w:tcPr>
            <w:tcW w:type="dxa" w:w="2880"/>
          </w:tcPr>
          <w:p>
            <w:r>
              <w:t>[6] lines 148–158</w:t>
            </w:r>
          </w:p>
        </w:tc>
        <w:tc>
          <w:tcPr>
            <w:tcW w:type="dxa" w:w="2880"/>
          </w:tcPr>
          <w:p>
            <w:r>
              <w:t>asw, mtm0, scenario_data</w:t>
            </w:r>
          </w:p>
        </w:tc>
      </w:tr>
      <w:tr>
        <w:tc>
          <w:tcPr>
            <w:tcW w:type="dxa" w:w="2880"/>
          </w:tcPr>
          <w:p>
            <w:r>
              <w:t>Tenor grid</w:t>
            </w:r>
          </w:p>
        </w:tc>
        <w:tc>
          <w:tcPr>
            <w:tcW w:type="dxa" w:w="2880"/>
          </w:tcPr>
          <w:p>
            <w:r>
              <w:t>[7] lines 167–178</w:t>
            </w:r>
          </w:p>
        </w:tc>
        <w:tc>
          <w:tcPr>
            <w:tcW w:type="dxa" w:w="2880"/>
          </w:tcPr>
          <w:p>
            <w:r>
              <w:t>tenor_serial, tenor_dates, tenor_years</w:t>
            </w:r>
          </w:p>
        </w:tc>
      </w:tr>
      <w:tr>
        <w:tc>
          <w:tcPr>
            <w:tcW w:type="dxa" w:w="2880"/>
          </w:tcPr>
          <w:p>
            <w:r>
              <w:t>Base DFs cache</w:t>
            </w:r>
          </w:p>
        </w:tc>
        <w:tc>
          <w:tcPr>
            <w:tcW w:type="dxa" w:w="2880"/>
          </w:tcPr>
          <w:p>
            <w:r>
              <w:t>[8] lines 183–199</w:t>
            </w:r>
          </w:p>
        </w:tc>
        <w:tc>
          <w:tcPr>
            <w:tcW w:type="dxa" w:w="2880"/>
          </w:tcPr>
          <w:p>
            <w:r>
              <w:t>base_dfs, date_years, coupon_data</w:t>
            </w:r>
          </w:p>
        </w:tc>
      </w:tr>
      <w:tr>
        <w:tc>
          <w:tcPr>
            <w:tcW w:type="dxa" w:w="2880"/>
          </w:tcPr>
          <w:p>
            <w:r>
              <w:t>Random shifts</w:t>
            </w:r>
          </w:p>
        </w:tc>
        <w:tc>
          <w:tcPr>
            <w:tcW w:type="dxa" w:w="2880"/>
          </w:tcPr>
          <w:p>
            <w:r>
              <w:t>[9] lines 207–209</w:t>
            </w:r>
          </w:p>
        </w:tc>
        <w:tc>
          <w:tcPr>
            <w:tcW w:type="dxa" w:w="2880"/>
          </w:tcPr>
          <w:p>
            <w:r>
              <w:t>increments, shifts</w:t>
            </w:r>
          </w:p>
        </w:tc>
      </w:tr>
      <w:tr>
        <w:tc>
          <w:tcPr>
            <w:tcW w:type="dxa" w:w="2880"/>
          </w:tcPr>
          <w:p>
            <w:r>
              <w:t>Simulation loop</w:t>
            </w:r>
          </w:p>
        </w:tc>
        <w:tc>
          <w:tcPr>
            <w:tcW w:type="dxa" w:w="2880"/>
          </w:tcPr>
          <w:p>
            <w:r>
              <w:t>[10] lines 228–254</w:t>
            </w:r>
          </w:p>
        </w:tc>
        <w:tc>
          <w:tcPr>
            <w:tcW w:type="dxa" w:w="2880"/>
          </w:tcPr>
          <w:p>
            <w:r>
              <w:t>arr_A_rem, arr_df_fwd_T, dz, rem_coupons</w:t>
            </w:r>
          </w:p>
        </w:tc>
      </w:tr>
      <w:tr>
        <w:tc>
          <w:tcPr>
            <w:tcW w:type="dxa" w:w="2880"/>
          </w:tcPr>
          <w:p>
            <w:r>
              <w:t>MtM (ASW &amp; fix-fix)</w:t>
            </w:r>
          </w:p>
        </w:tc>
        <w:tc>
          <w:tcPr>
            <w:tcW w:type="dxa" w:w="2880"/>
          </w:tcPr>
          <w:p>
            <w:r>
              <w:t>[11–12] lines 260–280</w:t>
            </w:r>
          </w:p>
        </w:tc>
        <w:tc>
          <w:tcPr>
            <w:tcW w:type="dxa" w:w="2880"/>
          </w:tcPr>
          <w:p>
            <w:r>
              <w:t>float_term, mtm_all, mtm_fixfix</w:t>
            </w:r>
          </w:p>
        </w:tc>
      </w:tr>
      <w:tr>
        <w:tc>
          <w:tcPr>
            <w:tcW w:type="dxa" w:w="2880"/>
          </w:tcPr>
          <w:p>
            <w:r>
              <w:t>Exposure metrics</w:t>
            </w:r>
          </w:p>
        </w:tc>
        <w:tc>
          <w:tcPr>
            <w:tcW w:type="dxa" w:w="2880"/>
          </w:tcPr>
          <w:p>
            <w:r>
              <w:t>[13] lines 292–297</w:t>
            </w:r>
          </w:p>
        </w:tc>
        <w:tc>
          <w:tcPr>
            <w:tcW w:type="dxa" w:w="2880"/>
          </w:tcPr>
          <w:p>
            <w:r>
              <w:t>epe, ene, pfe, nfe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