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0"/>
        </w:rPr>
        <w:t>Apollo Commitments-Tracking Eval</w:t>
      </w:r>
    </w:p>
    <w:p>
      <w:pPr>
        <w:jc w:val="center"/>
      </w:pPr>
      <w:r>
        <w:rPr>
          <w:i/>
          <w:sz w:val="22"/>
        </w:rPr>
        <w:t>Client update and loss analysis</w:t>
      </w:r>
    </w:p>
    <w:p>
      <w:pPr>
        <w:pStyle w:val="Heading1"/>
      </w:pPr>
      <w:r>
        <w:t>Client Update</w:t>
      </w:r>
    </w:p>
    <w:p>
      <w:pPr>
        <w:spacing w:after="120" w:line="264" w:lineRule="auto"/>
      </w:pPr>
      <w:r>
        <w:t>We built a Harbor knowledge-work task for evaluating whether an agent can keep a task board accurate from workplace conversation. The environment contains simulated Slack and Task Manager services exposed through terminal tools, a realistic instruction, a deterministic verifier, and an oracle solution. Everything runs in a containerized Harbor task, with the agent using the same service commands a human operator would use.</w:t>
      </w:r>
    </w:p>
    <w:p>
      <w:pPr>
        <w:spacing w:after="120" w:line="264" w:lineRule="auto"/>
      </w:pPr>
      <w:r>
        <w:t>The task asks the agent to identify outstanding commitments in Slack, reconcile them with the existing board, create missing tasks, assign the right owner, and avoid tasks for decoys such as FYIs, completed work, hypotheticals, and declined asks. The verifier writes a binary deterministic reward based on final state: the required commitments must be present with correct owners and actionable statuses, duplicates must be absent, and decoys must remain untracked.</w:t>
      </w:r>
    </w:p>
    <w:p>
      <w:pPr>
        <w:spacing w:after="120" w:line="264" w:lineRule="auto"/>
      </w:pPr>
      <w:r>
        <w:t>The target model, Gemma 4 26B through terminus-2, passed 8 of 10 trials for a deterministic pass rate of 80%. The comparison model, Gemma 4 31B, passed 10 of 10 trials for a deterministic pass rate of 100%. This makes the task challenging for the target model while remaining solvable for a stronger model.</w:t>
      </w:r>
    </w:p>
    <w:p>
      <w:pPr>
        <w:jc w:val="center"/>
      </w:pPr>
      <w:r>
        <w:drawing>
          <wp:inline xmlns:a="http://schemas.openxmlformats.org/drawingml/2006/main" xmlns:pic="http://schemas.openxmlformats.org/drawingml/2006/picture">
            <wp:extent cx="5669280" cy="3314348"/>
            <wp:docPr id="1" name="Picture 1"/>
            <wp:cNvGraphicFramePr>
              <a:graphicFrameLocks noChangeAspect="1"/>
            </wp:cNvGraphicFramePr>
            <a:graphic>
              <a:graphicData uri="http://schemas.openxmlformats.org/drawingml/2006/picture">
                <pic:pic>
                  <pic:nvPicPr>
                    <pic:cNvPr id="0" name="figure_1_pass_rate.png"/>
                    <pic:cNvPicPr/>
                  </pic:nvPicPr>
                  <pic:blipFill>
                    <a:blip r:embed="rId9"/>
                    <a:stretch>
                      <a:fillRect/>
                    </a:stretch>
                  </pic:blipFill>
                  <pic:spPr>
                    <a:xfrm>
                      <a:off x="0" y="0"/>
                      <a:ext cx="5669280" cy="3314348"/>
                    </a:xfrm>
                    <a:prstGeom prst="rect"/>
                  </pic:spPr>
                </pic:pic>
              </a:graphicData>
            </a:graphic>
          </wp:inline>
        </w:drawing>
      </w:r>
    </w:p>
    <w:p>
      <w:pPr>
        <w:spacing w:after="240"/>
        <w:jc w:val="center"/>
      </w:pPr>
      <w:r>
        <w:rPr>
          <w:i/>
          <w:sz w:val="18"/>
        </w:rPr>
        <w:t>Figure 1. Deterministic pass rate by model.</w:t>
      </w:r>
    </w:p>
    <w:p>
      <w:pPr>
        <w:spacing w:after="120" w:line="264" w:lineRule="auto"/>
      </w:pPr>
      <w:r>
        <w:t>The result is meaningful because the weaker model reliably handled most explicit commitments but intermittently dropped the billing API monitoring follow-up, a threaded and less direct obligation. The stronger model captured the full required end state across all recorded trials. That separation indicates the task discriminates on commitment inference and reconciliation rather than on basic command execution.</w:t>
      </w:r>
    </w:p>
    <w:p>
      <w:pPr>
        <w:spacing w:after="120" w:line="264" w:lineRule="auto"/>
      </w:pPr>
      <w:r>
        <w:t>Recommendation: use this eval as a compact regression test for operational commitment tracking. The next calibration step should preserve deterministic state checking while adding one or two more reconciliation cases only if future target models again approach saturation.</w:t>
      </w:r>
    </w:p>
    <w:p>
      <w:r>
        <w:br w:type="page"/>
      </w:r>
    </w:p>
    <w:p>
      <w:pPr>
        <w:pStyle w:val="Heading1"/>
      </w:pPr>
      <w:r>
        <w:t>Loss Analysis</w:t>
      </w:r>
    </w:p>
    <w:p>
      <w:pPr>
        <w:spacing w:after="120" w:line="264" w:lineRule="auto"/>
      </w:pPr>
      <w:r>
        <w:t>The target model failed when it produced a task board that looked orderly but was incomplete. In one failing 26B trajectory, the agent created five of the six genuine missing commitments and then declared the board complete. The omitted item was the billing API monitoring follow-up assigned to Devon.</w:t>
      </w:r>
    </w:p>
    <w:p>
      <w:pPr>
        <w:spacing w:after="120" w:line="264" w:lineRule="auto"/>
      </w:pPr>
      <w:r>
        <w:t>The failing trajectory created these tasks:</w:t>
      </w:r>
    </w:p>
    <w:p>
      <w:pPr>
        <w:pStyle w:val="ListBullet"/>
        <w:spacing w:after="80"/>
      </w:pPr>
      <w:r>
        <w:t>Update onboarding FAQ with new SSO steps -&gt; alice</w:t>
      </w:r>
    </w:p>
    <w:p>
      <w:pPr>
        <w:pStyle w:val="ListBullet"/>
        <w:spacing w:after="80"/>
      </w:pPr>
      <w:r>
        <w:t>Rotate staging API key -&gt; priya</w:t>
      </w:r>
    </w:p>
    <w:p>
      <w:pPr>
        <w:pStyle w:val="ListBullet"/>
        <w:spacing w:after="80"/>
      </w:pPr>
      <w:r>
        <w:t>Reconcile April invoice mismatch -&gt; nina</w:t>
      </w:r>
    </w:p>
    <w:p>
      <w:pPr>
        <w:pStyle w:val="ListBullet"/>
        <w:spacing w:after="80"/>
      </w:pPr>
      <w:r>
        <w:t>Draft Initech renewal email -&gt; maya</w:t>
      </w:r>
    </w:p>
    <w:p>
      <w:pPr>
        <w:pStyle w:val="ListBullet"/>
        <w:spacing w:after="80"/>
      </w:pPr>
      <w:r>
        <w:t>Complete Globex security questionnaire -&gt; alice</w:t>
      </w:r>
    </w:p>
    <w:p>
      <w:pPr>
        <w:spacing w:after="120" w:line="264" w:lineRule="auto"/>
      </w:pPr>
      <w:r>
        <w:t>There was no create_task call for billing API monitoring. The deterministic verifier therefore marked billing_monitoring_ok = 0 and expected_task_count = 0, causing the all-or-nothing reward to fail the trial.</w:t>
      </w:r>
    </w:p>
    <w:p>
      <w:pPr>
        <w:jc w:val="center"/>
      </w:pPr>
      <w:r>
        <w:drawing>
          <wp:inline xmlns:a="http://schemas.openxmlformats.org/drawingml/2006/main" xmlns:pic="http://schemas.openxmlformats.org/drawingml/2006/picture">
            <wp:extent cx="5669280" cy="3314348"/>
            <wp:docPr id="2" name="Picture 2"/>
            <wp:cNvGraphicFramePr>
              <a:graphicFrameLocks noChangeAspect="1"/>
            </wp:cNvGraphicFramePr>
            <a:graphic>
              <a:graphicData uri="http://schemas.openxmlformats.org/drawingml/2006/picture">
                <pic:pic>
                  <pic:nvPicPr>
                    <pic:cNvPr id="0" name="figure_2_failure_counts.png"/>
                    <pic:cNvPicPr/>
                  </pic:nvPicPr>
                  <pic:blipFill>
                    <a:blip r:embed="rId10"/>
                    <a:stretch>
                      <a:fillRect/>
                    </a:stretch>
                  </pic:blipFill>
                  <pic:spPr>
                    <a:xfrm>
                      <a:off x="0" y="0"/>
                      <a:ext cx="5669280" cy="3314348"/>
                    </a:xfrm>
                    <a:prstGeom prst="rect"/>
                  </pic:spPr>
                </pic:pic>
              </a:graphicData>
            </a:graphic>
          </wp:inline>
        </w:drawing>
      </w:r>
    </w:p>
    <w:p>
      <w:pPr>
        <w:spacing w:after="240"/>
        <w:jc w:val="center"/>
      </w:pPr>
      <w:r>
        <w:rPr>
          <w:i/>
          <w:sz w:val="18"/>
        </w:rPr>
        <w:t>Figure 2. Failed deterministic checks for Gemma 4 26B.</w:t>
      </w:r>
    </w:p>
    <w:p>
      <w:pPr>
        <w:spacing w:after="120" w:line="264" w:lineRule="auto"/>
      </w:pPr>
      <w:r>
        <w:t>Across the full target run, the only non-zero failed checks were billing_monitoring_ok (2 failed trials) and expected_task_count (2 failed trials). The stronger 31B model reached 10 of 10 deterministic passes, which shows that the environment is solvable and the target failure is not caused by an impossible verifier.</w:t>
      </w:r>
    </w:p>
    <w:p>
      <w:pPr>
        <w:spacing w:after="120" w:line="264" w:lineRule="auto"/>
      </w:pPr>
      <w:r>
        <w:t>The verification design deliberately treats deterministic state checking as authoritative. Success is objective here: either the task board contains the required commitments with the correct owners and no spurious work, or it does not. That makes deterministic reward more appropriate than a judge-only approach.</w:t>
      </w:r>
    </w:p>
    <w:p>
      <w:pPr>
        <w:spacing w:after="120" w:line="264" w:lineRule="auto"/>
      </w:pPr>
      <w:r>
        <w:t>The LLM judge remains useful as a comparison signal but is too permissive to drive reward. In the failing 26B trial, gpt-4o-mini scored the run 1.0 and claimed all commitments were tracked even though billing API monitoring was missing. That false pass is exactly why the deterministic verifier is the sole reward.</w:t>
      </w:r>
    </w:p>
    <w:p>
      <w:pPr>
        <w:spacing w:after="120" w:line="264" w:lineRule="auto"/>
      </w:pPr>
      <w:r>
        <w:t>The calibration arc also matters. The initial design saturated at 100% for both tested Gemma models. We hardened it with decoys plus implicit and threaded commitments, which made the task unsaturated for the target model and discriminating against the stronger comparison. During calibration, two unfair-verifier bugs were caught and fixed: an exact-match false negative on staging key rotation and a cancellation check that inverted model ranking. Those fixes illustrate the unfair-verifier risk called out in the brief and are part of making the final result trustworthy.</w:t>
      </w:r>
    </w:p>
    <w:p>
      <w:pPr>
        <w:spacing w:after="120" w:line="264" w:lineRule="auto"/>
      </w:pPr>
      <w:r>
        <w:t>Harbor framing: the submitted task includes instruction.md, a Dockerized environment with Slack and Task Manager CLIs, a deterministic verifier that writes reward.json, and an oracle solution. The recorded runs were executed with harbor run using terminus-2 and Gemma models through OpenRouter.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