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1. Which case established the principle of direct effect?</w:t>
      </w:r>
    </w:p>
    <w:p>
      <w:r>
        <w:t>A. Costa v ENEL</w:t>
      </w:r>
    </w:p>
    <w:p>
      <w:r>
        <w:rPr>
          <w:b/>
        </w:rPr>
        <w:t>B. Van Gend en Loos</w:t>
      </w:r>
    </w:p>
    <w:p>
      <w:r>
        <w:t>C. Francovich</w:t>
      </w:r>
    </w:p>
    <w:p>
      <w:r>
        <w:t>D. Simmenthal</w:t>
      </w:r>
    </w:p>
    <w:p>
      <w:r>
        <w:rPr>
          <w:b/>
        </w:rPr>
        <w:t>2. Which case established the primacy of EU law?</w:t>
      </w:r>
    </w:p>
    <w:p>
      <w:r>
        <w:t>A. Van Gend en Loos</w:t>
      </w:r>
    </w:p>
    <w:p>
      <w:r>
        <w:t>B. Cassis de Dijon</w:t>
      </w:r>
    </w:p>
    <w:p>
      <w:r>
        <w:rPr>
          <w:b/>
        </w:rPr>
        <w:t>C. Costa v ENEL</w:t>
      </w:r>
    </w:p>
    <w:p>
      <w:r>
        <w:t>D. ERTA</w:t>
      </w:r>
    </w:p>
    <w:p>
      <w:r>
        <w:rPr>
          <w:b/>
        </w:rPr>
        <w:t>3. Which case required national courts to disapply conflicting national law immediately?</w:t>
      </w:r>
    </w:p>
    <w:p>
      <w:r>
        <w:t>A. Keck</w:t>
      </w:r>
    </w:p>
    <w:p>
      <w:r>
        <w:rPr>
          <w:b/>
        </w:rPr>
        <w:t>B. Simmenthal</w:t>
      </w:r>
    </w:p>
    <w:p>
      <w:r>
        <w:t>C. Plaumann</w:t>
      </w:r>
    </w:p>
    <w:p>
      <w:r>
        <w:t>D. Ratti</w:t>
      </w:r>
    </w:p>
    <w:p>
      <w:r>
        <w:rPr>
          <w:b/>
        </w:rPr>
        <w:t>4. State liability was first recognised in:</w:t>
      </w:r>
    </w:p>
    <w:p>
      <w:r>
        <w:rPr>
          <w:b/>
        </w:rPr>
        <w:t>A. Francovich</w:t>
      </w:r>
    </w:p>
    <w:p>
      <w:r>
        <w:t>B. Brasserie du Pêcheur</w:t>
      </w:r>
    </w:p>
    <w:p>
      <w:r>
        <w:t>C. Mangold</w:t>
      </w:r>
    </w:p>
    <w:p>
      <w:r>
        <w:t>D. Bosman</w:t>
      </w:r>
    </w:p>
    <w:p>
      <w:r>
        <w:rPr>
          <w:b/>
        </w:rPr>
        <w:t>5. Which case introduced the Dassonville formula?</w:t>
      </w:r>
    </w:p>
    <w:p>
      <w:r>
        <w:t>A. Keck</w:t>
      </w:r>
    </w:p>
    <w:p>
      <w:r>
        <w:rPr>
          <w:b/>
        </w:rPr>
        <w:t>B. Dassonville</w:t>
      </w:r>
    </w:p>
    <w:p>
      <w:r>
        <w:t>C. Gebhard</w:t>
      </w:r>
    </w:p>
    <w:p>
      <w:r>
        <w:t>D. Cassis</w:t>
      </w:r>
    </w:p>
    <w:p>
      <w:r>
        <w:rPr>
          <w:b/>
        </w:rPr>
        <w:t>6. Mutual recognition of goods is associated with:</w:t>
      </w:r>
    </w:p>
    <w:p>
      <w:r>
        <w:rPr>
          <w:b/>
        </w:rPr>
        <w:t>A. Cassis de Dijon</w:t>
      </w:r>
    </w:p>
    <w:p>
      <w:r>
        <w:t>B. Bosman</w:t>
      </w:r>
    </w:p>
    <w:p>
      <w:r>
        <w:t>C. ERTA</w:t>
      </w:r>
    </w:p>
    <w:p>
      <w:r>
        <w:t>D. Pringle</w:t>
      </w:r>
    </w:p>
    <w:p>
      <w:r>
        <w:rPr>
          <w:b/>
        </w:rPr>
        <w:t>7. Keck mainly limited which doctrine?</w:t>
      </w:r>
    </w:p>
    <w:p>
      <w:r>
        <w:t>A. Direct effect</w:t>
      </w:r>
    </w:p>
    <w:p>
      <w:r>
        <w:rPr>
          <w:b/>
        </w:rPr>
        <w:t>B. Measures having equivalent effect</w:t>
      </w:r>
    </w:p>
    <w:p>
      <w:r>
        <w:t>C. State liability</w:t>
      </w:r>
    </w:p>
    <w:p>
      <w:r>
        <w:t>D. Directives</w:t>
      </w:r>
    </w:p>
    <w:p>
      <w:r>
        <w:rPr>
          <w:b/>
        </w:rPr>
        <w:t>8. Which case concerns free movement of workers in football?</w:t>
      </w:r>
    </w:p>
    <w:p>
      <w:r>
        <w:t>A. Gebhard</w:t>
      </w:r>
    </w:p>
    <w:p>
      <w:r>
        <w:rPr>
          <w:b/>
        </w:rPr>
        <w:t>B. Bosman</w:t>
      </w:r>
    </w:p>
    <w:p>
      <w:r>
        <w:t>C. Defrenne II</w:t>
      </w:r>
    </w:p>
    <w:p>
      <w:r>
        <w:t>D. Mangold</w:t>
      </w:r>
    </w:p>
    <w:p>
      <w:r>
        <w:rPr>
          <w:b/>
        </w:rPr>
        <w:t>9. The Gebhard test concerns:</w:t>
      </w:r>
    </w:p>
    <w:p>
      <w:r>
        <w:t>A. Goods</w:t>
      </w:r>
    </w:p>
    <w:p>
      <w:r>
        <w:t>B. Workers</w:t>
      </w:r>
    </w:p>
    <w:p>
      <w:r>
        <w:rPr>
          <w:b/>
        </w:rPr>
        <w:t>C. Freedom of establishment</w:t>
      </w:r>
    </w:p>
    <w:p>
      <w:r>
        <w:t>D. Citizenship</w:t>
      </w:r>
    </w:p>
    <w:p>
      <w:r>
        <w:rPr>
          <w:b/>
        </w:rPr>
        <w:t>10. Plaumann is famous for:</w:t>
      </w:r>
    </w:p>
    <w:p>
      <w:r>
        <w:t>A. Direct effect</w:t>
      </w:r>
    </w:p>
    <w:p>
      <w:r>
        <w:rPr>
          <w:b/>
        </w:rPr>
        <w:t>B. Individual concern</w:t>
      </w:r>
    </w:p>
    <w:p>
      <w:r>
        <w:t>C. State liability</w:t>
      </w:r>
    </w:p>
    <w:p>
      <w:r>
        <w:t>D. Data protection</w:t>
      </w:r>
    </w:p>
    <w:p>
      <w:r>
        <w:rPr>
          <w:b/>
        </w:rPr>
        <w:t>11. Foto-Frost held that:</w:t>
      </w:r>
    </w:p>
    <w:p>
      <w:r>
        <w:t>A. National courts may annul EU acts</w:t>
      </w:r>
    </w:p>
    <w:p>
      <w:r>
        <w:rPr>
          <w:b/>
        </w:rPr>
        <w:t>B. Only the CJEU may declare EU acts invalid</w:t>
      </w:r>
    </w:p>
    <w:p>
      <w:r>
        <w:t>C. Directives have horizontal effect</w:t>
      </w:r>
    </w:p>
    <w:p>
      <w:r>
        <w:t>D. Treaties prevail over constitutions</w:t>
      </w:r>
    </w:p>
    <w:p>
      <w:r>
        <w:rPr>
          <w:b/>
        </w:rPr>
        <w:t>12. Les Verts confirmed:</w:t>
      </w:r>
    </w:p>
    <w:p>
      <w:r>
        <w:rPr>
          <w:b/>
        </w:rPr>
        <w:t>A. Complete system of legal remedies</w:t>
      </w:r>
    </w:p>
    <w:p>
      <w:r>
        <w:t>B. Mutual recognition</w:t>
      </w:r>
    </w:p>
    <w:p>
      <w:r>
        <w:t>C. State liability</w:t>
      </w:r>
    </w:p>
    <w:p>
      <w:r>
        <w:t>D. Citizenship</w:t>
      </w:r>
    </w:p>
    <w:p>
      <w:r>
        <w:rPr>
          <w:b/>
        </w:rPr>
        <w:t>13. ERTA (AETR) recognised:</w:t>
      </w:r>
    </w:p>
    <w:p>
      <w:r>
        <w:rPr>
          <w:b/>
        </w:rPr>
        <w:t>A. Implied external powers</w:t>
      </w:r>
    </w:p>
    <w:p>
      <w:r>
        <w:t>B. Horizontal effect</w:t>
      </w:r>
    </w:p>
    <w:p>
      <w:r>
        <w:t>C. Direct applicability</w:t>
      </w:r>
    </w:p>
    <w:p>
      <w:r>
        <w:t>D. Subsidiarity</w:t>
      </w:r>
    </w:p>
    <w:p>
      <w:r>
        <w:rPr>
          <w:b/>
        </w:rPr>
        <w:t>14. Kadi is mainly about:</w:t>
      </w:r>
    </w:p>
    <w:p>
      <w:r>
        <w:t>A. Competition law</w:t>
      </w:r>
    </w:p>
    <w:p>
      <w:r>
        <w:rPr>
          <w:b/>
        </w:rPr>
        <w:t>B. Fundamental rights and UN sanctions</w:t>
      </w:r>
    </w:p>
    <w:p>
      <w:r>
        <w:t>C. Agriculture</w:t>
      </w:r>
    </w:p>
    <w:p>
      <w:r>
        <w:t>D. EMU</w:t>
      </w:r>
    </w:p>
    <w:p>
      <w:r>
        <w:rPr>
          <w:b/>
        </w:rPr>
        <w:t>15. Defrenne II established:</w:t>
      </w:r>
    </w:p>
    <w:p>
      <w:r>
        <w:rPr>
          <w:b/>
        </w:rPr>
        <w:t>A. Equal pay direct effect</w:t>
      </w:r>
    </w:p>
    <w:p>
      <w:r>
        <w:t>B. State liability</w:t>
      </w:r>
    </w:p>
    <w:p>
      <w:r>
        <w:t>C. Mutual recognition</w:t>
      </w:r>
    </w:p>
    <w:p>
      <w:r>
        <w:t>D. Primacy</w:t>
      </w:r>
    </w:p>
    <w:p>
      <w:r>
        <w:rPr>
          <w:b/>
        </w:rPr>
        <w:t>16. Von Colson is linked to:</w:t>
      </w:r>
    </w:p>
    <w:p>
      <w:r>
        <w:rPr>
          <w:b/>
        </w:rPr>
        <w:t>A. Indirect effect</w:t>
      </w:r>
    </w:p>
    <w:p>
      <w:r>
        <w:t>B. Direct effect</w:t>
      </w:r>
    </w:p>
    <w:p>
      <w:r>
        <w:t>C. Primacy</w:t>
      </w:r>
    </w:p>
    <w:p>
      <w:r>
        <w:t>D. Citizenship</w:t>
      </w:r>
    </w:p>
    <w:p>
      <w:r>
        <w:rPr>
          <w:b/>
        </w:rPr>
        <w:t>17. Marleasing strengthened:</w:t>
      </w:r>
    </w:p>
    <w:p>
      <w:r>
        <w:rPr>
          <w:b/>
        </w:rPr>
        <w:t>A. Consistent interpretation</w:t>
      </w:r>
    </w:p>
    <w:p>
      <w:r>
        <w:t>B. Free movement of goods</w:t>
      </w:r>
    </w:p>
    <w:p>
      <w:r>
        <w:t>C. Data protection</w:t>
      </w:r>
    </w:p>
    <w:p>
      <w:r>
        <w:t>D. Standing</w:t>
      </w:r>
    </w:p>
    <w:p>
      <w:r>
        <w:rPr>
          <w:b/>
        </w:rPr>
        <w:t>18. Foster v British Gas clarified:</w:t>
      </w:r>
    </w:p>
    <w:p>
      <w:r>
        <w:rPr>
          <w:b/>
        </w:rPr>
        <w:t>A. State emanation</w:t>
      </w:r>
    </w:p>
    <w:p>
      <w:r>
        <w:t>B. Article 267</w:t>
      </w:r>
    </w:p>
    <w:p>
      <w:r>
        <w:t>C. External competence</w:t>
      </w:r>
    </w:p>
    <w:p>
      <w:r>
        <w:t>D. Consumer rights</w:t>
      </w:r>
    </w:p>
    <w:p>
      <w:r>
        <w:rPr>
          <w:b/>
        </w:rPr>
        <w:t>19. Ratti confirmed that an unimplemented directive cannot be relied upon by:</w:t>
      </w:r>
    </w:p>
    <w:p>
      <w:r>
        <w:t>A. The State</w:t>
      </w:r>
    </w:p>
    <w:p>
      <w:r>
        <w:t>B. Individuals vertically</w:t>
      </w:r>
    </w:p>
    <w:p>
      <w:r>
        <w:rPr>
          <w:b/>
        </w:rPr>
        <w:t>C. An individual against another individual</w:t>
      </w:r>
    </w:p>
    <w:p>
      <w:r>
        <w:t>D. National courts</w:t>
      </w:r>
    </w:p>
    <w:p>
      <w:r>
        <w:rPr>
          <w:b/>
        </w:rPr>
        <w:t>20. CILFIT concerns:</w:t>
      </w:r>
    </w:p>
    <w:p>
      <w:r>
        <w:rPr>
          <w:b/>
        </w:rPr>
        <w:t>A. Acte clair</w:t>
      </w:r>
    </w:p>
    <w:p>
      <w:r>
        <w:t>B. State liability</w:t>
      </w:r>
    </w:p>
    <w:p>
      <w:r>
        <w:t>C. Standing</w:t>
      </w:r>
    </w:p>
    <w:p>
      <w:r>
        <w:t>D. Citizenship</w:t>
      </w:r>
    </w:p>
    <w:p>
      <w:r>
        <w:rPr>
          <w:b/>
        </w:rPr>
        <w:t>21. Digital Rights Ireland concerned:</w:t>
      </w:r>
    </w:p>
    <w:p>
      <w:r>
        <w:rPr>
          <w:b/>
        </w:rPr>
        <w:t>A. Data retention</w:t>
      </w:r>
    </w:p>
    <w:p>
      <w:r>
        <w:t>B. Competition</w:t>
      </w:r>
    </w:p>
    <w:p>
      <w:r>
        <w:t>C. VAT</w:t>
      </w:r>
    </w:p>
    <w:p>
      <w:r>
        <w:t>D. EMU</w:t>
      </w:r>
    </w:p>
    <w:p>
      <w:r>
        <w:rPr>
          <w:b/>
        </w:rPr>
        <w:t>22. Google Spain established:</w:t>
      </w:r>
    </w:p>
    <w:p>
      <w:r>
        <w:rPr>
          <w:b/>
        </w:rPr>
        <w:t>A. Right to be forgotten</w:t>
      </w:r>
    </w:p>
    <w:p>
      <w:r>
        <w:t>B. Primacy</w:t>
      </w:r>
    </w:p>
    <w:p>
      <w:r>
        <w:t>C. External powers</w:t>
      </w:r>
    </w:p>
    <w:p>
      <w:r>
        <w:t>D. Direct taxation</w:t>
      </w:r>
    </w:p>
    <w:p>
      <w:r>
        <w:rPr>
          <w:b/>
        </w:rPr>
        <w:t>23. Schrems I invalidated:</w:t>
      </w:r>
    </w:p>
    <w:p>
      <w:r>
        <w:t>A. Privacy Shield</w:t>
      </w:r>
    </w:p>
    <w:p>
      <w:r>
        <w:rPr>
          <w:b/>
        </w:rPr>
        <w:t>B. Safe Harbor</w:t>
      </w:r>
    </w:p>
    <w:p>
      <w:r>
        <w:t>C. GDPR</w:t>
      </w:r>
    </w:p>
    <w:p>
      <w:r>
        <w:t>D. Data Act</w:t>
      </w:r>
    </w:p>
    <w:p>
      <w:r>
        <w:rPr>
          <w:b/>
        </w:rPr>
        <w:t>24. Schrems II invalidated:</w:t>
      </w:r>
    </w:p>
    <w:p>
      <w:r>
        <w:t>A. Safe Harbor</w:t>
      </w:r>
    </w:p>
    <w:p>
      <w:r>
        <w:rPr>
          <w:b/>
        </w:rPr>
        <w:t>B. Privacy Shield</w:t>
      </w:r>
    </w:p>
    <w:p>
      <w:r>
        <w:t>C. ECHR</w:t>
      </w:r>
    </w:p>
    <w:p>
      <w:r>
        <w:t>D. Directive 95/46</w:t>
      </w:r>
    </w:p>
    <w:p>
      <w:r>
        <w:rPr>
          <w:b/>
        </w:rPr>
        <w:t>25. Pringle concerned:</w:t>
      </w:r>
    </w:p>
    <w:p>
      <w:r>
        <w:rPr>
          <w:b/>
        </w:rPr>
        <w:t>A. ESM compatibility</w:t>
      </w:r>
    </w:p>
    <w:p>
      <w:r>
        <w:t>B. CBAM</w:t>
      </w:r>
    </w:p>
    <w:p>
      <w:r>
        <w:t>C. CAP</w:t>
      </w:r>
    </w:p>
    <w:p>
      <w:r>
        <w:t>D. Schengen</w:t>
      </w:r>
    </w:p>
    <w:p>
      <w:r>
        <w:rPr>
          <w:b/>
        </w:rPr>
        <w:t>26. Opinion 2/13 dealt with:</w:t>
      </w:r>
    </w:p>
    <w:p>
      <w:r>
        <w:rPr>
          <w:b/>
        </w:rPr>
        <w:t>A. EU accession to the ECHR</w:t>
      </w:r>
    </w:p>
    <w:p>
      <w:r>
        <w:t>B. Brexit</w:t>
      </w:r>
    </w:p>
    <w:p>
      <w:r>
        <w:t>C. ECB independence</w:t>
      </w:r>
    </w:p>
    <w:p>
      <w:r>
        <w:t>D. Budget</w:t>
      </w:r>
    </w:p>
    <w:p>
      <w:r>
        <w:rPr>
          <w:b/>
        </w:rPr>
        <w:t>27. Wightman clarified:</w:t>
      </w:r>
    </w:p>
    <w:p>
      <w:r>
        <w:rPr>
          <w:b/>
        </w:rPr>
        <w:t>A. Revocation of Article 50 notification</w:t>
      </w:r>
    </w:p>
    <w:p>
      <w:r>
        <w:t>B. State liability</w:t>
      </w:r>
    </w:p>
    <w:p>
      <w:r>
        <w:t>C. QMV</w:t>
      </w:r>
    </w:p>
    <w:p>
      <w:r>
        <w:t>D. Citizenship</w:t>
      </w:r>
    </w:p>
    <w:p>
      <w:r>
        <w:rPr>
          <w:b/>
        </w:rPr>
        <w:t>28. Mangold is associated with:</w:t>
      </w:r>
    </w:p>
    <w:p>
      <w:r>
        <w:rPr>
          <w:b/>
        </w:rPr>
        <w:t>A. Age discrimination</w:t>
      </w:r>
    </w:p>
    <w:p>
      <w:r>
        <w:t>B. Equal pay</w:t>
      </w:r>
    </w:p>
    <w:p>
      <w:r>
        <w:t>C. Goods</w:t>
      </w:r>
    </w:p>
    <w:p>
      <w:r>
        <w:t>D. VAT</w:t>
      </w:r>
    </w:p>
    <w:p>
      <w:r>
        <w:rPr>
          <w:b/>
        </w:rPr>
        <w:t>29. Brasserie du Pêcheur developed:</w:t>
      </w:r>
    </w:p>
    <w:p>
      <w:r>
        <w:rPr>
          <w:b/>
        </w:rPr>
        <w:t>A. State liability conditions</w:t>
      </w:r>
    </w:p>
    <w:p>
      <w:r>
        <w:t>B. Direct effect</w:t>
      </w:r>
    </w:p>
    <w:p>
      <w:r>
        <w:t>C. Mutual recognition</w:t>
      </w:r>
    </w:p>
    <w:p>
      <w:r>
        <w:t>D. Standing</w:t>
      </w:r>
    </w:p>
    <w:p>
      <w:r>
        <w:rPr>
          <w:b/>
        </w:rPr>
        <w:t>30. Which case came first chronologically?</w:t>
      </w:r>
    </w:p>
    <w:p>
      <w:r>
        <w:t>A. Costa v ENEL</w:t>
      </w:r>
    </w:p>
    <w:p>
      <w:r>
        <w:t>B. Francovich</w:t>
      </w:r>
    </w:p>
    <w:p>
      <w:r>
        <w:rPr>
          <w:b/>
        </w:rPr>
        <w:t>C. Van Gend en Loos</w:t>
      </w:r>
    </w:p>
    <w:p>
      <w:r>
        <w:t>D. Simmenthal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