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Revelatio: Systematically Managed Funds for the First-Time Investor</w:t>
      </w:r>
    </w:p>
    <w:p>
      <w:pPr>
        <w:pStyle w:val="Subtitle"/>
      </w:pPr>
      <w:r>
        <w:t>Part B - Funds, Sentiment and the App</w:t>
      </w:r>
    </w:p>
    <w:p>
      <w:r>
        <w:t>z5736927 - Gianni Chepote - FINS5545 Financial Market Data Literacy</w:t>
      </w:r>
    </w:p>
    <w:p>
      <w:pPr>
        <w:pStyle w:val="Heading1"/>
      </w:pPr>
      <w:r>
        <w:t>Abstract</w:t>
      </w:r>
    </w:p>
    <w:p>
      <w:pPr>
        <w:jc w:val="both"/>
      </w:pPr>
      <w:r>
        <w:t>Revelatio offers systematically managed funds to first-time investors. This Part builds eleven funds - three families (equity-only, crypto-only and combined) across three methods (minimum-variance, maximum-Sharpe and risk parity), plus two two-stage funds - over 50 US large caps and 10 cryptocurrencies, each backtested out of sample with a rolling 252-day window, monthly rebalancing, and no look-ahead. Over 2021-01-04 to 2023-12-29 the maximum-Sharpe fund returned 25.5% a year at a 1.03 Sharpe; against an equal-weight 50-stock market (Sharpe 0.82), only 3 of 11 funds beat simply owning the market. A VADER sentiment index and a basic tilt complete the pipeline, and three extensions - covariance shrinkage, a two-stage portfolio of portfolios, and sentiment decay - are each shown out of sample.</w:t>
      </w:r>
    </w:p>
    <w:p>
      <w:pPr>
        <w:jc w:val="both"/>
      </w:pPr>
      <w:r>
        <w:t>Blending 50 US large-cap stocks with 10 cryptocurrencies returned 25.5% a year at a 1.03 Sharpe when the objective was to maximise risk-adjusted return - but playing it safe backfired: the minimum-variance funds lost to an equal-weight basket of the same 50 stocks. They did cut risk, with a shallower 15.6% drawdown against the market's 20.3%, yet by minimising variance they sidestepped the higher-volatility names and crypto that drove returns, giving up more upside than the protection was worth. Optimisation only pays when its objective matches how the market actually moves.</w:t>
      </w:r>
    </w:p>
    <w:p>
      <w:pPr>
        <w:pStyle w:val="Heading1"/>
      </w:pPr>
      <w:r>
        <w:t>1. The product and the investor</w:t>
      </w:r>
    </w:p>
    <w:p>
      <w:pPr>
        <w:jc w:val="both"/>
      </w:pPr>
      <w:r>
        <w:t>Revelatio is an investment app for the first-time investor who suspects investing is rigged. It stands on two inputs: daily prices for 50 US large-cap equities and 10 cryptocurrencies (2020-2023), and daily news headlines for the equities.</w:t>
      </w:r>
    </w:p>
    <w:p>
      <w:pPr>
        <w:jc w:val="both"/>
      </w:pPr>
      <w:r>
        <w:t>Revelatio is for the first-time investor who doesn't want to study markets or choose between stocks and crypto - they just want a fund that balances the two for them and runs itself. Trust is what makes that work: keep the app simple, show the risks and fees plainly, and let the optimised funds do the job so the user doesn't have to second-guess every move.</w:t>
      </w:r>
    </w:p>
    <w:p>
      <w:pPr>
        <w:pStyle w:val="Heading1"/>
      </w:pPr>
      <w:r>
        <w:t>2. The funds and the backtest design</w:t>
      </w:r>
    </w:p>
    <w:p>
      <w:pPr>
        <w:jc w:val="both"/>
      </w:pPr>
      <w:r>
        <w:t>Each fund is a set of portfolio weights over an investable universe, rebuilt on the first trading day of each month from the trailing 252 trading days of returns. The same construction is applied to three universes - equities only (50), crypto only (10), and combined (60) - so each method yields an equity-only, a crypto-only, and a combined fund. The daily portfolio return is w'r_t; weights use the sample mean and covariance over the rolling window:</w:t>
      </w:r>
    </w:p>
    <w:p>
      <w:pPr>
        <w:jc w:val="center"/>
      </w:pPr>
      <m:oMath>
        <m:box>
          <m:e>
            <m:limUpp>
              <m:e>
                <m:box>
                  <m:e>
                    <m:box>
                      <m:e>
                        <m:r>
                          <m:rPr>
                            <m:sty m:val="bi"/>
                          </m:rPr>
                          <m:t>μ</m:t>
                        </m:r>
                      </m:e>
                    </m:box>
                  </m:e>
                </m:box>
              </m:e>
              <m:lim>
                <m:r>
                  <m:rPr>
                    <m:sty m:val="p"/>
                  </m:rPr>
                  <m:t>^</m:t>
                </m:r>
              </m:lim>
            </m:limUpp>
            <m:r>
              <m:rPr>
                <m:sty m:val="p"/>
              </m:rPr>
              <m:t>=</m:t>
            </m:r>
            <m:f>
              <m:num>
                <m:box>
                  <m:e>
                    <m:r>
                      <m:rPr>
                        <m:sty m:val="p"/>
                      </m:rPr>
                      <m:t>1</m:t>
                    </m:r>
                  </m:e>
                </m:box>
              </m:num>
              <m:den>
                <m:box>
                  <m:e>
                    <m:r>
                      <m:rPr>
                        <m:sty m:val="p"/>
                      </m:rPr>
                      <m:t>252</m:t>
                    </m:r>
                  </m:e>
                </m:box>
              </m:den>
            </m:f>
            <m:nary>
              <m:naryPr>
                <m:chr m:val="∑"/>
                <m:limLoc m:val="undOvr"/>
                <m:supHide m:val="1"/>
              </m:naryPr>
              <m:sub>
                <m:box>
                  <m:e>
                    <m:r>
                      <m:rPr>
                        <m:sty m:val="i"/>
                      </m:rPr>
                      <m:t>s</m:t>
                    </m:r>
                    <m:r>
                      <m:rPr>
                        <m:sty m:val="p"/>
                      </m:rPr>
                      <m:t>∈</m:t>
                    </m:r>
                    <m:r>
                      <m:rPr>
                        <m:sty m:val="i"/>
                      </m:rPr>
                      <m:t>W</m:t>
                    </m:r>
                  </m:e>
                </m:box>
              </m:sub>
              <m:sup/>
              <m:e>
                <m:sSub>
                  <m:e>
                    <m:r>
                      <m:rPr>
                        <m:sty m:val="i"/>
                      </m:rPr>
                      <m:t>𝐫</m:t>
                    </m:r>
                  </m:e>
                  <m:sub>
                    <m:r>
                      <m:rPr>
                        <m:sty m:val="i"/>
                      </m:rPr>
                      <m:t>s</m:t>
                    </m:r>
                  </m:sub>
                </m:sSub>
                <m:r>
                  <m:rPr>
                    <m:sty m:val="p"/>
                  </m:rPr>
                  <m:t>,</m:t>
                </m:r>
                <m:r>
                  <m:t/>
                </m:r>
                <m:limUpp>
                  <m:e>
                    <m:box>
                      <m:e>
                        <m:box>
                          <m:e>
                            <m:r>
                              <m:rPr>
                                <m:sty m:val="bi"/>
                              </m:rPr>
                              <m:t>Σ</m:t>
                            </m:r>
                          </m:e>
                        </m:box>
                      </m:e>
                    </m:box>
                  </m:e>
                  <m:lim>
                    <m:r>
                      <m:rPr>
                        <m:sty m:val="p"/>
                      </m:rPr>
                      <m:t>^</m:t>
                    </m:r>
                  </m:lim>
                </m:limUpp>
                <m:r>
                  <m:rPr>
                    <m:sty m:val="p"/>
                  </m:rPr>
                  <m:t>=</m:t>
                </m:r>
                <m:f>
                  <m:num>
                    <m:box>
                      <m:e>
                        <m:r>
                          <m:rPr>
                            <m:sty m:val="p"/>
                          </m:rPr>
                          <m:t>1</m:t>
                        </m:r>
                      </m:e>
                    </m:box>
                  </m:num>
                  <m:den>
                    <m:box>
                      <m:e>
                        <m:r>
                          <m:rPr>
                            <m:sty m:val="p"/>
                          </m:rPr>
                          <m:t>251</m:t>
                        </m:r>
                      </m:e>
                    </m:box>
                  </m:den>
                </m:f>
                <m:nary>
                  <m:naryPr>
                    <m:chr m:val="∑"/>
                    <m:limLoc m:val="undOvr"/>
                    <m:supHide m:val="1"/>
                  </m:naryPr>
                  <m:sub>
                    <m:box>
                      <m:e>
                        <m:r>
                          <m:rPr>
                            <m:sty m:val="i"/>
                          </m:rPr>
                          <m:t>s</m:t>
                        </m:r>
                        <m:r>
                          <m:rPr>
                            <m:sty m:val="p"/>
                          </m:rPr>
                          <m:t>∈</m:t>
                        </m:r>
                        <m:r>
                          <m:rPr>
                            <m:sty m:val="i"/>
                          </m:rPr>
                          <m:t>W</m:t>
                        </m:r>
                      </m:e>
                    </m:box>
                  </m:sub>
                  <m:sup/>
                  <m:e>
                    <m:r>
                      <m:rPr>
                        <m:sty m:val="p"/>
                      </m:rPr>
                      <m:t>(</m:t>
                    </m:r>
                    <m:sSub>
                      <m:e>
                        <m:r>
                          <m:rPr>
                            <m:sty m:val="i"/>
                          </m:rPr>
                          <m:t>𝐫</m:t>
                        </m:r>
                      </m:e>
                      <m:sub>
                        <m:r>
                          <m:rPr>
                            <m:sty m:val="i"/>
                          </m:rPr>
                          <m:t>s</m:t>
                        </m:r>
                      </m:sub>
                    </m:sSub>
                    <m:r>
                      <m:rPr>
                        <m:sty m:val="p"/>
                      </m:rPr>
                      <m:t>−</m:t>
                    </m:r>
                    <m:limUpp>
                      <m:e>
                        <m:box>
                          <m:e>
                            <m:box>
                              <m:e>
                                <m:r>
                                  <m:rPr>
                                    <m:sty m:val="bi"/>
                                  </m:rPr>
                                  <m:t>μ</m:t>
                                </m:r>
                              </m:e>
                            </m:box>
                          </m:e>
                        </m:box>
                      </m:e>
                      <m:lim>
                        <m:r>
                          <m:rPr>
                            <m:sty m:val="p"/>
                          </m:rPr>
                          <m:t>^</m:t>
                        </m:r>
                      </m:lim>
                    </m:limUpp>
                    <m:r>
                      <m:rPr>
                        <m:sty m:val="p"/>
                      </m:rPr>
                      <m:t>)</m:t>
                    </m:r>
                    <m:r>
                      <m:rPr>
                        <m:sty m:val="p"/>
                      </m:rPr>
                      <m:t>(</m:t>
                    </m:r>
                    <m:sSub>
                      <m:e>
                        <m:r>
                          <m:rPr>
                            <m:sty m:val="i"/>
                          </m:rPr>
                          <m:t>𝐫</m:t>
                        </m:r>
                      </m:e>
                      <m:sub>
                        <m:r>
                          <m:rPr>
                            <m:sty m:val="i"/>
                          </m:rPr>
                          <m:t>s</m:t>
                        </m:r>
                      </m:sub>
                    </m:sSub>
                    <m:r>
                      <m:rPr>
                        <m:sty m:val="p"/>
                      </m:rPr>
                      <m:t>−</m:t>
                    </m:r>
                    <m:limUpp>
                      <m:e>
                        <m:box>
                          <m:e>
                            <m:box>
                              <m:e>
                                <m:r>
                                  <m:rPr>
                                    <m:sty m:val="bi"/>
                                  </m:rPr>
                                  <m:t>μ</m:t>
                                </m:r>
                              </m:e>
                            </m:box>
                          </m:e>
                        </m:box>
                      </m:e>
                      <m:lim>
                        <m:r>
                          <m:rPr>
                            <m:sty m:val="p"/>
                          </m:rPr>
                          <m:t>^</m:t>
                        </m:r>
                      </m:lim>
                    </m:limUpp>
                    <m:sSup>
                      <m:e>
                        <m:r>
                          <m:rPr>
                            <m:sty m:val="p"/>
                          </m:rPr>
                          <m:t>)</m:t>
                        </m:r>
                      </m:e>
                      <m:sup>
                        <m:box>
                          <m:e>
                            <m:r>
                              <m:rPr>
                                <m:sty m:val="p"/>
                              </m:rPr>
                              <m:t>⊤</m:t>
                            </m:r>
                          </m:e>
                        </m:box>
                      </m:sup>
                    </m:sSup>
                  </m:e>
                </m:nary>
              </m:e>
            </m:nary>
          </m:e>
        </m:box>
      </m:oMath>
    </w:p>
    <w:p>
      <w:pPr>
        <w:jc w:val="center"/>
      </w:pPr>
      <w:r>
        <w:rPr>
          <w:i/>
        </w:rPr>
        <w:t>Equation 1</w:t>
      </w:r>
    </w:p>
    <w:p>
      <w:pPr>
        <w:jc w:val="both"/>
      </w:pPr>
      <w:r>
        <w:t>The minimum-variance and maximum-Sharpe (tangency) funds solve</w:t>
      </w:r>
    </w:p>
    <w:p>
      <w:pPr>
        <w:jc w:val="center"/>
      </w:pPr>
      <m:oMath>
        <m:box>
          <m:e>
            <m:sSub>
              <m:e>
                <m:r>
                  <m:rPr>
                    <m:sty m:val="p"/>
                  </m:rPr>
                  <m:t>min</m:t>
                </m:r>
              </m:e>
              <m:sub>
                <m:box>
                  <m:e>
                    <m:r>
                      <m:rPr>
                        <m:sty m:val="i"/>
                      </m:rPr>
                      <m:t>𝐰</m:t>
                    </m:r>
                  </m:e>
                </m:box>
              </m:sub>
            </m:sSub>
            <m:r>
              <m:rPr>
                <m:nor/>
              </m:rPr>
              <m:t> </m:t>
            </m:r>
            <m:sSup>
              <m:e>
                <m:r>
                  <m:rPr>
                    <m:sty m:val="i"/>
                  </m:rPr>
                  <m:t>𝐰</m:t>
                </m:r>
              </m:e>
              <m:sup>
                <m:box>
                  <m:e>
                    <m:r>
                      <m:rPr>
                        <m:sty m:val="p"/>
                      </m:rPr>
                      <m:t>⊤</m:t>
                    </m:r>
                  </m:e>
                </m:box>
              </m:sup>
            </m:sSup>
            <m:limUpp>
              <m:e>
                <m:box>
                  <m:e>
                    <m:box>
                      <m:e>
                        <m:r>
                          <m:rPr>
                            <m:sty m:val="bi"/>
                          </m:rPr>
                          <m:t>Σ</m:t>
                        </m:r>
                      </m:e>
                    </m:box>
                  </m:e>
                </m:box>
              </m:e>
              <m:lim>
                <m:r>
                  <m:rPr>
                    <m:sty m:val="p"/>
                  </m:rPr>
                  <m:t>^</m:t>
                </m:r>
              </m:lim>
            </m:limUpp>
            <m:r>
              <m:rPr>
                <m:sty m:val="i"/>
              </m:rPr>
              <m:t>𝐰</m:t>
            </m:r>
            <m:r>
              <m:t/>
            </m:r>
            <m:sSub>
              <m:e>
                <m:r>
                  <m:rPr>
                    <m:sty m:val="p"/>
                  </m:rPr>
                  <m:t>max</m:t>
                </m:r>
              </m:e>
              <m:sub>
                <m:box>
                  <m:e>
                    <m:r>
                      <m:rPr>
                        <m:sty m:val="i"/>
                      </m:rPr>
                      <m:t>𝐰</m:t>
                    </m:r>
                  </m:e>
                </m:box>
              </m:sub>
            </m:sSub>
            <m:r>
              <m:rPr>
                <m:nor/>
              </m:rPr>
              <m:t> </m:t>
            </m:r>
            <m:f>
              <m:num>
                <m:box>
                  <m:e>
                    <m:sSup>
                      <m:e>
                        <m:r>
                          <m:rPr>
                            <m:sty m:val="i"/>
                          </m:rPr>
                          <m:t>𝐰</m:t>
                        </m:r>
                      </m:e>
                      <m:sup>
                        <m:box>
                          <m:e>
                            <m:r>
                              <m:rPr>
                                <m:sty m:val="p"/>
                              </m:rPr>
                              <m:t>⊤</m:t>
                            </m:r>
                          </m:e>
                        </m:box>
                      </m:sup>
                    </m:sSup>
                    <m:limUpp>
                      <m:e>
                        <m:box>
                          <m:e>
                            <m:box>
                              <m:e>
                                <m:r>
                                  <m:rPr>
                                    <m:sty m:val="bi"/>
                                  </m:rPr>
                                  <m:t>μ</m:t>
                                </m:r>
                              </m:e>
                            </m:box>
                          </m:e>
                        </m:box>
                      </m:e>
                      <m:lim>
                        <m:r>
                          <m:rPr>
                            <m:sty m:val="p"/>
                          </m:rPr>
                          <m:t>^</m:t>
                        </m:r>
                      </m:lim>
                    </m:limUpp>
                    <m:r>
                      <m:rPr>
                        <m:sty m:val="p"/>
                      </m:rPr>
                      <m:t>−</m:t>
                    </m:r>
                    <m:sSub>
                      <m:e>
                        <m:r>
                          <m:rPr>
                            <m:sty m:val="i"/>
                          </m:rPr>
                          <m:t>r</m:t>
                        </m:r>
                      </m:e>
                      <m:sub>
                        <m:r>
                          <m:rPr>
                            <m:sty m:val="i"/>
                          </m:rPr>
                          <m:t>f</m:t>
                        </m:r>
                      </m:sub>
                    </m:sSub>
                  </m:e>
                </m:box>
              </m:num>
              <m:den>
                <m:box>
                  <m:e>
                    <m:rad>
                      <m:e>
                        <m:box>
                          <m:e>
                            <m:box>
                              <m:e>
                                <m:sSup>
                                  <m:e>
                                    <m:r>
                                      <m:rPr>
                                        <m:sty m:val="i"/>
                                      </m:rPr>
                                      <m:t>𝐰</m:t>
                                    </m:r>
                                  </m:e>
                                  <m:sup>
                                    <m:box>
                                      <m:e>
                                        <m:r>
                                          <m:rPr>
                                            <m:sty m:val="p"/>
                                          </m:rPr>
                                          <m:t>⊤</m:t>
                                        </m:r>
                                      </m:e>
                                    </m:box>
                                  </m:sup>
                                </m:sSup>
                                <m:limUpp>
                                  <m:e>
                                    <m:box>
                                      <m:e>
                                        <m:box>
                                          <m:e>
                                            <m:r>
                                              <m:rPr>
                                                <m:sty m:val="bi"/>
                                              </m:rPr>
                                              <m:t>Σ</m:t>
                                            </m:r>
                                          </m:e>
                                        </m:box>
                                      </m:e>
                                    </m:box>
                                  </m:e>
                                  <m:lim>
                                    <m:r>
                                      <m:rPr>
                                        <m:sty m:val="p"/>
                                      </m:rPr>
                                      <m:t>^</m:t>
                                    </m:r>
                                  </m:lim>
                                </m:limUpp>
                                <m:r>
                                  <m:rPr>
                                    <m:sty m:val="i"/>
                                  </m:rPr>
                                  <m:t>𝐰</m:t>
                                </m:r>
                              </m:e>
                            </m:box>
                          </m:e>
                        </m:box>
                      </m:e>
                    </m:rad>
                  </m:e>
                </m:box>
              </m:den>
            </m:f>
            <m:r>
              <m:t/>
            </m:r>
            <m:box>
              <m:e>
                <m:r>
                  <m:rPr>
                    <m:sty m:val="p"/>
                  </m:rPr>
                  <m:t>s</m:t>
                </m:r>
                <m:r>
                  <m:rPr>
                    <m:sty m:val="p"/>
                  </m:rPr>
                  <m:t>.</m:t>
                </m:r>
                <m:r>
                  <m:rPr>
                    <m:sty m:val="p"/>
                  </m:rPr>
                  <m:t>t</m:t>
                </m:r>
                <m:r>
                  <m:rPr>
                    <m:sty m:val="p"/>
                  </m:rPr>
                  <m:t>.</m:t>
                </m:r>
              </m:e>
            </m:box>
            <m:r>
              <m:rPr>
                <m:nor/>
              </m:rPr>
              <m:t> </m:t>
            </m:r>
            <m:nary>
              <m:naryPr>
                <m:chr m:val="∑"/>
                <m:limLoc m:val="undOvr"/>
                <m:supHide m:val="1"/>
              </m:naryPr>
              <m:sub>
                <m:r>
                  <m:rPr>
                    <m:sty m:val="i"/>
                  </m:rPr>
                  <m:t>i</m:t>
                </m:r>
              </m:sub>
              <m:sup/>
              <m:e>
                <m:sSub>
                  <m:e>
                    <m:r>
                      <m:rPr>
                        <m:sty m:val="i"/>
                      </m:rPr>
                      <m:t>w</m:t>
                    </m:r>
                  </m:e>
                  <m:sub>
                    <m:r>
                      <m:rPr>
                        <m:sty m:val="i"/>
                      </m:rPr>
                      <m:t>i</m:t>
                    </m:r>
                  </m:sub>
                </m:sSub>
                <m:r>
                  <m:rPr>
                    <m:sty m:val="p"/>
                  </m:rPr>
                  <m:t>=</m:t>
                </m:r>
                <m:r>
                  <m:rPr>
                    <m:sty m:val="p"/>
                  </m:rPr>
                  <m:t>1</m:t>
                </m:r>
                <m:r>
                  <m:rPr>
                    <m:sty m:val="p"/>
                  </m:rPr>
                  <m:t>,</m:t>
                </m:r>
                <m:r>
                  <m:rPr>
                    <m:nor/>
                  </m:rPr>
                  <m:t> </m:t>
                </m:r>
                <m:sSub>
                  <m:e>
                    <m:r>
                      <m:rPr>
                        <m:sty m:val="i"/>
                      </m:rPr>
                      <m:t>w</m:t>
                    </m:r>
                  </m:e>
                  <m:sub>
                    <m:r>
                      <m:rPr>
                        <m:sty m:val="i"/>
                      </m:rPr>
                      <m:t>i</m:t>
                    </m:r>
                  </m:sub>
                </m:sSub>
                <m:r>
                  <m:rPr>
                    <m:sty m:val="p"/>
                  </m:rPr>
                  <m:t>≥</m:t>
                </m:r>
                <m:r>
                  <m:rPr>
                    <m:sty m:val="p"/>
                  </m:rPr>
                  <m:t>0</m:t>
                </m:r>
              </m:e>
            </m:nary>
          </m:e>
        </m:box>
      </m:oMath>
    </w:p>
    <w:p>
      <w:pPr>
        <w:jc w:val="center"/>
      </w:pPr>
      <w:r>
        <w:rPr>
          <w:i/>
        </w:rPr>
        <w:t>Equation 2</w:t>
      </w:r>
    </w:p>
    <w:p>
      <w:pPr>
        <w:jc w:val="both"/>
      </w:pPr>
      <w:r>
        <w:t>and the risk-parity fund equalises each asset's contribution to portfolio variance (Spinu, 2013), normalised to sum to one:</w:t>
      </w:r>
    </w:p>
    <w:p>
      <w:pPr>
        <w:jc w:val="center"/>
      </w:pPr>
      <m:oMath>
        <m:box>
          <m:e>
            <m:sSub>
              <m:e>
                <m:r>
                  <m:rPr>
                    <m:sty m:val="p"/>
                  </m:rPr>
                  <m:t>min</m:t>
                </m:r>
              </m:e>
              <m:sub>
                <m:box>
                  <m:e>
                    <m:r>
                      <m:rPr>
                        <m:sty m:val="i"/>
                      </m:rPr>
                      <m:t>𝐰</m:t>
                    </m:r>
                    <m:r>
                      <m:rPr>
                        <m:sty m:val="p"/>
                      </m:rPr>
                      <m:t>&gt;</m:t>
                    </m:r>
                    <m:r>
                      <m:rPr>
                        <m:sty m:val="p"/>
                      </m:rPr>
                      <m:t>0</m:t>
                    </m:r>
                  </m:e>
                </m:box>
              </m:sub>
            </m:sSub>
            <m:r>
              <m:rPr>
                <m:nor/>
              </m:rPr>
              <m:t> </m:t>
            </m:r>
            <m:f>
              <m:num>
                <m:box>
                  <m:e>
                    <m:r>
                      <m:rPr>
                        <m:sty m:val="p"/>
                      </m:rPr>
                      <m:t>1</m:t>
                    </m:r>
                  </m:e>
                </m:box>
              </m:num>
              <m:den>
                <m:box>
                  <m:e>
                    <m:r>
                      <m:rPr>
                        <m:sty m:val="p"/>
                      </m:rPr>
                      <m:t>2</m:t>
                    </m:r>
                  </m:e>
                </m:box>
              </m:den>
            </m:f>
            <m:sSup>
              <m:e>
                <m:r>
                  <m:rPr>
                    <m:sty m:val="i"/>
                  </m:rPr>
                  <m:t>𝐰</m:t>
                </m:r>
              </m:e>
              <m:sup>
                <m:box>
                  <m:e>
                    <m:r>
                      <m:rPr>
                        <m:sty m:val="p"/>
                      </m:rPr>
                      <m:t>⊤</m:t>
                    </m:r>
                  </m:e>
                </m:box>
              </m:sup>
            </m:sSup>
            <m:limUpp>
              <m:e>
                <m:box>
                  <m:e>
                    <m:box>
                      <m:e>
                        <m:r>
                          <m:rPr>
                            <m:sty m:val="bi"/>
                          </m:rPr>
                          <m:t>Σ</m:t>
                        </m:r>
                      </m:e>
                    </m:box>
                  </m:e>
                </m:box>
              </m:e>
              <m:lim>
                <m:r>
                  <m:rPr>
                    <m:sty m:val="p"/>
                  </m:rPr>
                  <m:t>^</m:t>
                </m:r>
              </m:lim>
            </m:limUpp>
            <m:r>
              <m:rPr>
                <m:sty m:val="i"/>
              </m:rPr>
              <m:t>𝐰</m:t>
            </m:r>
            <m:r>
              <m:rPr>
                <m:sty m:val="p"/>
              </m:rPr>
              <m:t>−</m:t>
            </m:r>
            <m:f>
              <m:num>
                <m:box>
                  <m:e>
                    <m:r>
                      <m:rPr>
                        <m:sty m:val="p"/>
                      </m:rPr>
                      <m:t>1</m:t>
                    </m:r>
                  </m:e>
                </m:box>
              </m:num>
              <m:den>
                <m:box>
                  <m:e>
                    <m:r>
                      <m:rPr>
                        <m:sty m:val="i"/>
                      </m:rPr>
                      <m:t>n</m:t>
                    </m:r>
                  </m:e>
                </m:box>
              </m:den>
            </m:f>
            <m:nary>
              <m:naryPr>
                <m:chr m:val="∑"/>
                <m:limLoc m:val="undOvr"/>
                <m:supHide m:val="1"/>
              </m:naryPr>
              <m:sub>
                <m:r>
                  <m:rPr>
                    <m:sty m:val="i"/>
                  </m:rPr>
                  <m:t>i</m:t>
                </m:r>
              </m:sub>
              <m:sup/>
              <m:e>
                <m:r>
                  <m:rPr>
                    <m:sty m:val="p"/>
                  </m:rPr>
                  <m:t>ln</m:t>
                </m:r>
                <m:sSub>
                  <m:e>
                    <m:r>
                      <m:rPr>
                        <m:sty m:val="i"/>
                      </m:rPr>
                      <m:t>w</m:t>
                    </m:r>
                  </m:e>
                  <m:sub>
                    <m:r>
                      <m:rPr>
                        <m:sty m:val="i"/>
                      </m:rPr>
                      <m:t>i</m:t>
                    </m:r>
                  </m:sub>
                </m:sSub>
              </m:e>
            </m:nary>
          </m:e>
        </m:box>
      </m:oMath>
    </w:p>
    <w:p>
      <w:pPr>
        <w:jc w:val="center"/>
      </w:pPr>
      <w:r>
        <w:rPr>
          <w:i/>
        </w:rPr>
        <w:t>Equation 3</w:t>
      </w:r>
    </w:p>
    <w:p>
      <w:pPr>
        <w:jc w:val="both"/>
      </w:pPr>
      <w:r>
        <w:t>All are long-only and fully invested, r_f = 0 (stated). Performance is annualised on the 252-day equity calendar; Sharpe is mu_ann/sigma_ann, and maximum drawdown is the worst peak-to-trough decline of growth path V:</w:t>
      </w:r>
    </w:p>
    <w:p>
      <w:pPr>
        <w:jc w:val="center"/>
      </w:pPr>
      <m:oMath>
        <m:box>
          <m:e>
            <m:box>
              <m:e>
                <m:r>
                  <m:rPr>
                    <m:sty m:val="p"/>
                  </m:rPr>
                  <m:t>M</m:t>
                </m:r>
                <m:r>
                  <m:rPr>
                    <m:sty m:val="p"/>
                  </m:rPr>
                  <m:t>D</m:t>
                </m:r>
                <m:r>
                  <m:rPr>
                    <m:sty m:val="p"/>
                  </m:rPr>
                  <m:t>D</m:t>
                </m:r>
              </m:e>
            </m:box>
            <m:r>
              <m:rPr>
                <m:sty m:val="p"/>
              </m:rPr>
              <m:t>=</m:t>
            </m:r>
            <m:sSub>
              <m:e>
                <m:r>
                  <m:rPr>
                    <m:sty m:val="p"/>
                  </m:rPr>
                  <m:t>min</m:t>
                </m:r>
              </m:e>
              <m:sub>
                <m:r>
                  <m:rPr>
                    <m:sty m:val="i"/>
                  </m:rPr>
                  <m:t>t</m:t>
                </m:r>
              </m:sub>
            </m:sSub>
            <m:box>
              <m:e>
                <m:d>
                  <m:dPr>
                    <m:begChr m:val="("/>
                    <m:endChr m:val=")"/>
                  </m:dPr>
                  <m:e>
                    <m:box>
                      <m:e>
                        <m:f>
                          <m:num>
                            <m:box>
                              <m:e>
                                <m:sSub>
                                  <m:e>
                                    <m:r>
                                      <m:rPr>
                                        <m:sty m:val="i"/>
                                      </m:rPr>
                                      <m:t>V</m:t>
                                    </m:r>
                                  </m:e>
                                  <m:sub>
                                    <m:r>
                                      <m:rPr>
                                        <m:sty m:val="i"/>
                                      </m:rPr>
                                      <m:t>t</m:t>
                                    </m:r>
                                  </m:sub>
                                </m:sSub>
                              </m:e>
                            </m:box>
                          </m:num>
                          <m:den>
                            <m:box>
                              <m:e>
                                <m:sSub>
                                  <m:e>
                                    <m:r>
                                      <m:rPr>
                                        <m:sty m:val="p"/>
                                      </m:rPr>
                                      <m:t>max</m:t>
                                    </m:r>
                                  </m:e>
                                  <m:sub>
                                    <m:box>
                                      <m:e>
                                        <m:r>
                                          <m:rPr>
                                            <m:sty m:val="i"/>
                                          </m:rPr>
                                          <m:t>s</m:t>
                                        </m:r>
                                        <m:r>
                                          <m:rPr>
                                            <m:sty m:val="p"/>
                                          </m:rPr>
                                          <m:t>≤</m:t>
                                        </m:r>
                                        <m:r>
                                          <m:rPr>
                                            <m:sty m:val="i"/>
                                          </m:rPr>
                                          <m:t>t</m:t>
                                        </m:r>
                                      </m:e>
                                    </m:box>
                                  </m:sub>
                                </m:sSub>
                                <m:sSub>
                                  <m:e>
                                    <m:r>
                                      <m:rPr>
                                        <m:sty m:val="i"/>
                                      </m:rPr>
                                      <m:t>V</m:t>
                                    </m:r>
                                  </m:e>
                                  <m:sub>
                                    <m:r>
                                      <m:rPr>
                                        <m:sty m:val="i"/>
                                      </m:rPr>
                                      <m:t>s</m:t>
                                    </m:r>
                                  </m:sub>
                                </m:sSub>
                              </m:e>
                            </m:box>
                          </m:den>
                        </m:f>
                        <m:r>
                          <m:rPr>
                            <m:sty m:val="p"/>
                          </m:rPr>
                          <m:t>−</m:t>
                        </m:r>
                        <m:r>
                          <m:rPr>
                            <m:sty m:val="p"/>
                          </m:rPr>
                          <m:t>1</m:t>
                        </m:r>
                      </m:e>
                    </m:box>
                  </m:e>
                </m:d>
              </m:e>
            </m:box>
          </m:e>
        </m:box>
      </m:oMath>
    </w:p>
    <w:p>
      <w:pPr>
        <w:jc w:val="center"/>
      </w:pPr>
      <w:r>
        <w:rPr>
          <w:i/>
        </w:rPr>
        <w:t>Equation 4</w:t>
      </w:r>
    </w:p>
    <w:p>
      <w:pPr>
        <w:jc w:val="both"/>
      </w:pPr>
      <w:r>
        <w:t>The design is out-of-sample throughout: the first live date is 2021-01-04 (the first month-start with a full 252-day prior window), the sample runs to 2023-12-29 (36 rebalances, 753 days), weights come only from data before each rebalance, and no figure includes a training-period day. Crypto returns are computed on their own calendar then left-joined onto equity trading days.</w:t>
      </w:r>
    </w:p>
    <w:p>
      <w:pPr>
        <w:jc w:val="both"/>
      </w:pPr>
      <w:r>
        <w:t>A one-year window is the sweet spot for a 60-asset mix: long enough to estimate returns and risk without the numbers going haywire, short enough to keep up as markets - especially crypto - shift. Monthly rebalancing keeps the funds current without constant trading, which suits a hands-off first-timer and keeps churn low.</w:t>
      </w:r>
    </w:p>
    <w:p>
      <w:pPr>
        <w:pStyle w:val="Heading1"/>
      </w:pPr>
      <w:r>
        <w:t>3. Out-of-sample results, fact sheets and the benchmark</w:t>
      </w:r>
    </w:p>
    <w:p>
      <w:pPr>
        <w:jc w:val="both"/>
      </w:pPr>
      <w:r>
        <w:t>The offering is a grid of three families x three methods (nine funds) plus two two-stage funds, eleven in all (Table A1; Figures A1-A4). The combined core funds are offered as the Revelatio Balanced Fund (minimum-variance) and the Revelatio High Growth Fund (maximum-Sharpe). Two patterns hold: within each method the combined fund beats either single-asset fund on Sharpe (combined maximum-Sharpe 1.03 vs 0.59 equity-only and -0.20 crypto-only), and crypto-only funds post the highest raw returns but the worst risk-adjusted ones (crypto risk parity 33% a year, 84% drawdown, Sharpe 0.46).</w:t>
      </w:r>
    </w:p>
    <w:p>
      <w:pPr>
        <w:jc w:val="both"/>
      </w:pPr>
      <w:r>
        <w:t>The grid makes the case for combining: within every method, mixing stocks and crypto beat holding either alone on a risk-adjusted basis. Crypto-only funds show why you don't hand a beginner pure crypto - 33% a year sounds great until you see the 83% fall that comes with it. So the funds we put up front are the combined ones; the single-asset versions exist to show the first-timer what diversification is buying them.</w:t>
      </w:r>
    </w:p>
    <w:p>
      <w:pPr>
        <w:jc w:val="both"/>
      </w:pPr>
      <w:r>
        <w:t>The max-Sharpe fund earned four times the return but fell 26% at its worst - the kind of drop that makes a first-timer sell at the bottom and swear off investing for good. So you don't sell them the 25.5% headline; you show the drawdown right next to it and let them pick the fund whose worst day they could actually sit through.</w:t>
      </w:r>
    </w:p>
    <w:p>
      <w:pPr>
        <w:pStyle w:val="Heading2"/>
      </w:pPr>
      <w:r>
        <w:t>3.1 Do the funds beat simply owning the market?</w:t>
      </w:r>
    </w:p>
    <w:p>
      <w:pPr>
        <w:jc w:val="both"/>
      </w:pPr>
      <w:r>
        <w:t>The equal-weight 50-stock market (Table A2) is the honest same-universe benchmark - our own stocks, calendar and schedule - so a fund that cannot beat it is not adding value over naive diversification. It returned 13.2% a year at Sharpe 0.82, and only 3 of 11 funds beat it. The combined minimum-variance fund fell 0.33 short on Sharpe: it cut volatility to 12.8% against the market's 16.2% (about a fifth less risk) but gave up roughly half the return (6.3% vs 13.2%), concentrating in about 10 low-volatility defensives (WMT, MRK, KO) with only 0.6% crypto.</w:t>
      </w:r>
    </w:p>
    <w:p>
      <w:pPr>
        <w:jc w:val="both"/>
      </w:pPr>
      <w:r>
        <w:t>Our minimum-variance funds lost to a plain equal-weight basket. We'd still offer minimum-variance, but honestly - as the calm-ride option, a 16% worst-case fall instead of 26%, for someone who values sleeping at night over top returns, not as a return story. The app says outright that a basic basket beat it this period; hiding that would be the exact broker trick the product exists to avoid.</w:t>
      </w:r>
    </w:p>
    <w:p>
      <w:pPr>
        <w:pStyle w:val="Heading1"/>
      </w:pPr>
      <w:r>
        <w:t>4. The sentiment index and fusion</w:t>
      </w:r>
    </w:p>
    <w:p>
      <w:pPr>
        <w:jc w:val="both"/>
      </w:pPr>
      <w:r>
        <w:t>Each headline is scored with VADER's compound score in [-1, 1], averaged to a per-ticker-day value, then equal-weighted across the five tickers in each sector (Equation 5; Figure A5). Text passes through unmodified because VADER reads casing, punctuation and negation; a ticker-day with no headline enters as neutral 0; any use lags at least one trading day. Coverage is 75.5% of ticker-days, and the market average held mildly positive (mean +0.09), barely reacting to the 2022 selloff.</w:t>
      </w:r>
    </w:p>
    <w:p>
      <w:pPr>
        <w:jc w:val="center"/>
      </w:pPr>
      <m:oMath>
        <m:box>
          <m:e>
            <m:sSub>
              <m:e>
                <m:r>
                  <m:rPr>
                    <m:sty m:val="i"/>
                  </m:rPr>
                  <m:t>S</m:t>
                </m:r>
              </m:e>
              <m:sub>
                <m:box>
                  <m:e>
                    <m:r>
                      <m:rPr>
                        <m:sty m:val="i"/>
                      </m:rPr>
                      <m:t>k</m:t>
                    </m:r>
                    <m:r>
                      <m:rPr>
                        <m:sty m:val="p"/>
                      </m:rPr>
                      <m:t>,</m:t>
                    </m:r>
                    <m:r>
                      <m:rPr>
                        <m:sty m:val="i"/>
                      </m:rPr>
                      <m:t>t</m:t>
                    </m:r>
                  </m:e>
                </m:box>
              </m:sub>
            </m:sSub>
            <m:r>
              <m:rPr>
                <m:sty m:val="p"/>
              </m:rPr>
              <m:t>=</m:t>
            </m:r>
            <m:f>
              <m:num>
                <m:box>
                  <m:e>
                    <m:r>
                      <m:rPr>
                        <m:sty m:val="p"/>
                      </m:rPr>
                      <m:t>1</m:t>
                    </m:r>
                  </m:e>
                </m:box>
              </m:num>
              <m:den>
                <m:box>
                  <m:e>
                    <m:r>
                      <m:rPr>
                        <m:sty m:val="p"/>
                      </m:rPr>
                      <m:t>5</m:t>
                    </m:r>
                  </m:e>
                </m:box>
              </m:den>
            </m:f>
            <m:nary>
              <m:naryPr>
                <m:chr m:val="∑"/>
                <m:limLoc m:val="undOvr"/>
                <m:supHide m:val="1"/>
              </m:naryPr>
              <m:sub>
                <m:box>
                  <m:e>
                    <m:r>
                      <m:rPr>
                        <m:sty m:val="i"/>
                      </m:rPr>
                      <m:t>i</m:t>
                    </m:r>
                    <m:r>
                      <m:rPr>
                        <m:sty m:val="p"/>
                      </m:rPr>
                      <m:t>∈</m:t>
                    </m:r>
                    <m:r>
                      <m:rPr>
                        <m:sty m:val="i"/>
                      </m:rPr>
                      <m:t>k</m:t>
                    </m:r>
                  </m:e>
                </m:box>
              </m:sub>
              <m:sup/>
              <m:e>
                <m:sSub>
                  <m:e>
                    <m:r>
                      <m:rPr>
                        <m:sty m:val="i"/>
                      </m:rPr>
                      <m:t>s</m:t>
                    </m:r>
                  </m:e>
                  <m:sub>
                    <m:box>
                      <m:e>
                        <m:r>
                          <m:rPr>
                            <m:sty m:val="i"/>
                          </m:rPr>
                          <m:t>i</m:t>
                        </m:r>
                        <m:r>
                          <m:rPr>
                            <m:sty m:val="p"/>
                          </m:rPr>
                          <m:t>,</m:t>
                        </m:r>
                        <m:r>
                          <m:rPr>
                            <m:sty m:val="i"/>
                          </m:rPr>
                          <m:t>t</m:t>
                        </m:r>
                      </m:e>
                    </m:box>
                  </m:sub>
                </m:sSub>
              </m:e>
            </m:nary>
          </m:e>
        </m:box>
      </m:oMath>
    </w:p>
    <w:p>
      <w:pPr>
        <w:jc w:val="center"/>
      </w:pPr>
      <w:r>
        <w:rPr>
          <w:i/>
        </w:rPr>
        <w:t>Equation 5</w:t>
      </w:r>
    </w:p>
    <w:p>
      <w:pPr>
        <w:jc w:val="both"/>
      </w:pPr>
      <w:r>
        <w:t>A signal that sits mildly positive and barely flinches - even through the 2022 crash - isn't telling you much. If the news reads 'fine' whether the market is rising or falling, it can't help you separate good bets from bad ones, which is exactly why leaning on it later dragged returns down instead of lifting them.</w:t>
      </w:r>
    </w:p>
    <w:p>
      <w:pPr>
        <w:jc w:val="both"/>
      </w:pPr>
      <w:r>
        <w:t>The fusion tilts each fund's equity weights towards higher-sentiment sectors using the lagged, z-scored signal (Equation 6; Table A3, Figure A6), lambda = 0.5, untuned. It reduced Sharpe for both funds - minimum-variance 0.49 to 0.31, maximum-Sharpe 1.03 to 0.91 - an honest negative baseline.</w:t>
      </w:r>
    </w:p>
    <w:p>
      <w:pPr>
        <w:jc w:val="center"/>
      </w:pPr>
      <m:oMath>
        <m:box>
          <m:e>
            <m:sSubSup>
              <m:e>
                <m:r>
                  <m:rPr>
                    <m:sty m:val="i"/>
                  </m:rPr>
                  <m:t>w</m:t>
                </m:r>
              </m:e>
              <m:sub>
                <m:r>
                  <m:rPr>
                    <m:sty m:val="i"/>
                  </m:rPr>
                  <m:t>i</m:t>
                </m:r>
              </m:sub>
              <m:sup>
                <m:box>
                  <m:e>
                    <m:box>
                      <m:e>
                        <m:r>
                          <m:rPr>
                            <m:sty m:val="p"/>
                          </m:rPr>
                          <m:t>t</m:t>
                        </m:r>
                        <m:r>
                          <m:rPr>
                            <m:sty m:val="p"/>
                          </m:rPr>
                          <m:t>i</m:t>
                        </m:r>
                        <m:r>
                          <m:rPr>
                            <m:sty m:val="p"/>
                          </m:rPr>
                          <m:t>l</m:t>
                        </m:r>
                        <m:r>
                          <m:rPr>
                            <m:sty m:val="p"/>
                          </m:rPr>
                          <m:t>t</m:t>
                        </m:r>
                      </m:e>
                    </m:box>
                  </m:e>
                </m:box>
              </m:sup>
            </m:sSubSup>
            <m:r>
              <m:rPr>
                <m:sty m:val="p"/>
              </m:rPr>
              <m:t>∝</m:t>
            </m:r>
            <m:sSub>
              <m:e>
                <m:r>
                  <m:rPr>
                    <m:sty m:val="i"/>
                  </m:rPr>
                  <m:t>w</m:t>
                </m:r>
              </m:e>
              <m:sub>
                <m:r>
                  <m:rPr>
                    <m:sty m:val="i"/>
                  </m:rPr>
                  <m:t>i</m:t>
                </m:r>
              </m:sub>
            </m:sSub>
            <m:r>
              <m:t/>
            </m:r>
            <m:r>
              <m:rPr>
                <m:sty m:val="p"/>
              </m:rPr>
              <m:t>(</m:t>
            </m:r>
            <m:r>
              <m:rPr>
                <m:sty m:val="p"/>
              </m:rPr>
              <m:t>1</m:t>
            </m:r>
            <m:r>
              <m:rPr>
                <m:sty m:val="p"/>
              </m:rPr>
              <m:t>+</m:t>
            </m:r>
            <m:r>
              <m:rPr>
                <m:sty m:val="i"/>
              </m:rPr>
              <m:t>λ</m:t>
            </m:r>
            <m:sSub>
              <m:e>
                <m:r>
                  <m:rPr>
                    <m:sty m:val="i"/>
                  </m:rPr>
                  <m:t>z</m:t>
                </m:r>
              </m:e>
              <m:sub>
                <m:r>
                  <m:rPr>
                    <m:sty m:val="i"/>
                  </m:rPr>
                  <m:t>i</m:t>
                </m:r>
              </m:sub>
            </m:sSub>
            <m:sSub>
              <m:e>
                <m:r>
                  <m:rPr>
                    <m:sty m:val="p"/>
                  </m:rPr>
                  <m:t>)</m:t>
                </m:r>
              </m:e>
              <m:sub>
                <m:box>
                  <m:e>
                    <m:r>
                      <m:rPr>
                        <m:sty m:val="p"/>
                      </m:rPr>
                      <m:t>+</m:t>
                    </m:r>
                  </m:e>
                </m:box>
              </m:sub>
            </m:sSub>
            <m:r>
              <m:rPr>
                <m:sty m:val="p"/>
              </m:rPr>
              <m:t>,</m:t>
            </m:r>
            <m:r>
              <m:t/>
            </m:r>
            <m:sSub>
              <m:e>
                <m:r>
                  <m:rPr>
                    <m:sty m:val="i"/>
                  </m:rPr>
                  <m:t>z</m:t>
                </m:r>
              </m:e>
              <m:sub>
                <m:r>
                  <m:rPr>
                    <m:sty m:val="i"/>
                  </m:rPr>
                  <m:t>i</m:t>
                </m:r>
              </m:sub>
            </m:sSub>
            <m:r>
              <m:rPr>
                <m:sty m:val="p"/>
              </m:rPr>
              <m:t>=</m:t>
            </m:r>
            <m:f>
              <m:num>
                <m:box>
                  <m:e>
                    <m:sSub>
                      <m:e>
                        <m:r>
                          <m:rPr>
                            <m:sty m:val="i"/>
                          </m:rPr>
                          <m:t>s</m:t>
                        </m:r>
                      </m:e>
                      <m:sub>
                        <m:r>
                          <m:rPr>
                            <m:sty m:val="i"/>
                          </m:rPr>
                          <m:t>i</m:t>
                        </m:r>
                      </m:sub>
                    </m:sSub>
                    <m:r>
                      <m:rPr>
                        <m:sty m:val="p"/>
                      </m:rPr>
                      <m:t>−</m:t>
                    </m:r>
                    <m:limUpp>
                      <m:e>
                        <m:box>
                          <m:e>
                            <m:r>
                              <m:rPr>
                                <m:sty m:val="i"/>
                              </m:rPr>
                              <m:t>s</m:t>
                            </m:r>
                          </m:e>
                        </m:box>
                      </m:e>
                      <m:lim>
                        <m:r>
                          <m:rPr>
                            <m:sty m:val="p"/>
                          </m:rPr>
                          <m:t>―</m:t>
                        </m:r>
                      </m:lim>
                    </m:limUpp>
                  </m:e>
                </m:box>
              </m:num>
              <m:den>
                <m:box>
                  <m:e>
                    <m:box>
                      <m:e>
                        <m:r>
                          <m:rPr>
                            <m:sty m:val="p"/>
                          </m:rPr>
                          <m:t>s</m:t>
                        </m:r>
                        <m:r>
                          <m:rPr>
                            <m:sty m:val="p"/>
                          </m:rPr>
                          <m:t>d</m:t>
                        </m:r>
                      </m:e>
                    </m:box>
                    <m:r>
                      <m:rPr>
                        <m:sty m:val="p"/>
                      </m:rPr>
                      <m:t>(</m:t>
                    </m:r>
                    <m:r>
                      <m:rPr>
                        <m:sty m:val="i"/>
                      </m:rPr>
                      <m:t>s</m:t>
                    </m:r>
                    <m:r>
                      <m:rPr>
                        <m:sty m:val="p"/>
                      </m:rPr>
                      <m:t>)</m:t>
                    </m:r>
                  </m:e>
                </m:box>
              </m:den>
            </m:f>
          </m:e>
        </m:box>
      </m:oMath>
    </w:p>
    <w:p>
      <w:pPr>
        <w:jc w:val="center"/>
      </w:pPr>
      <w:r>
        <w:rPr>
          <w:i/>
        </w:rPr>
        <w:t>Equation 6</w:t>
      </w:r>
    </w:p>
    <w:p>
      <w:pPr>
        <w:jc w:val="both"/>
      </w:pPr>
      <w:r>
        <w:t>Sentiment hurt because the tilt is only as good as the signal underneath it, and that signal barely moves. Nudging money towards 'positive' sectors on a flat, always-upbeat reading just shuffled weights around noise, so both funds lost Sharpe. To make sentiment pay you'd need a sharper signal - finance-specific words, or reactions to real events - not a cleverer way to lean on a dull one.</w:t>
      </w:r>
    </w:p>
    <w:p>
      <w:pPr>
        <w:pStyle w:val="Heading1"/>
      </w:pPr>
      <w:r>
        <w:t>5. Innovation: three extensions, each shown out of sample</w:t>
      </w:r>
    </w:p>
    <w:p>
      <w:pPr>
        <w:jc w:val="both"/>
      </w:pPr>
      <w:r>
        <w:t>Three extensions, chosen for depth over count, each a before-vs-after against the plain version it replaces with no parameter tuned to win.</w:t>
      </w:r>
    </w:p>
    <w:p>
      <w:pPr>
        <w:pStyle w:val="Heading2"/>
      </w:pPr>
      <w:r>
        <w:t>5.1 Covariance shrinkage</w:t>
      </w:r>
    </w:p>
    <w:p>
      <w:pPr>
        <w:jc w:val="both"/>
      </w:pPr>
      <w:r>
        <w:t>The 60-asset sample covariance on a one-year window is badly conditioned. A Ledoit-Wolf estimator shrinks it towards a scaled-identity target by an intensity delta chosen analytically per window:</w:t>
      </w:r>
    </w:p>
    <w:p>
      <w:pPr>
        <w:jc w:val="center"/>
      </w:pPr>
      <m:oMath>
        <m:box>
          <m:e>
            <m:sSub>
              <m:e>
                <m:limUpp>
                  <m:e>
                    <m:box>
                      <m:e>
                        <m:box>
                          <m:e>
                            <m:r>
                              <m:rPr>
                                <m:sty m:val="bi"/>
                              </m:rPr>
                              <m:t>Σ</m:t>
                            </m:r>
                          </m:e>
                        </m:box>
                      </m:e>
                    </m:box>
                  </m:e>
                  <m:lim>
                    <m:r>
                      <m:rPr>
                        <m:sty m:val="p"/>
                      </m:rPr>
                      <m:t>^</m:t>
                    </m:r>
                  </m:lim>
                </m:limUpp>
              </m:e>
              <m:sub>
                <m:box>
                  <m:e>
                    <m:box>
                      <m:e>
                        <m:r>
                          <m:rPr>
                            <m:sty m:val="p"/>
                          </m:rPr>
                          <m:t>L</m:t>
                        </m:r>
                        <m:r>
                          <m:rPr>
                            <m:sty m:val="p"/>
                          </m:rPr>
                          <m:t>W</m:t>
                        </m:r>
                      </m:e>
                    </m:box>
                  </m:e>
                </m:box>
              </m:sub>
            </m:sSub>
            <m:r>
              <m:rPr>
                <m:sty m:val="p"/>
              </m:rPr>
              <m:t>=</m:t>
            </m:r>
            <m:r>
              <m:rPr>
                <m:sty m:val="p"/>
              </m:rPr>
              <m:t>(</m:t>
            </m:r>
            <m:r>
              <m:rPr>
                <m:sty m:val="p"/>
              </m:rPr>
              <m:t>1</m:t>
            </m:r>
            <m:r>
              <m:rPr>
                <m:sty m:val="p"/>
              </m:rPr>
              <m:t>−</m:t>
            </m:r>
            <m:r>
              <m:rPr>
                <m:sty m:val="i"/>
              </m:rPr>
              <m:t>δ</m:t>
            </m:r>
            <m:r>
              <m:rPr>
                <m:sty m:val="p"/>
              </m:rPr>
              <m:t>)</m:t>
            </m:r>
            <m:r>
              <m:t/>
            </m:r>
            <m:r>
              <m:rPr>
                <m:sty m:val="i"/>
              </m:rPr>
              <m:t>𝐒</m:t>
            </m:r>
            <m:r>
              <m:rPr>
                <m:sty m:val="p"/>
              </m:rPr>
              <m:t>+</m:t>
            </m:r>
            <m:r>
              <m:rPr>
                <m:sty m:val="i"/>
              </m:rPr>
              <m:t>δ</m:t>
            </m:r>
            <m:r>
              <m:t/>
            </m:r>
            <m:sSup>
              <m:e>
                <m:limUpp>
                  <m:e>
                    <m:box>
                      <m:e>
                        <m:r>
                          <m:rPr>
                            <m:sty m:val="i"/>
                          </m:rPr>
                          <m:t>σ</m:t>
                        </m:r>
                      </m:e>
                    </m:box>
                  </m:e>
                  <m:lim>
                    <m:r>
                      <m:rPr>
                        <m:sty m:val="p"/>
                      </m:rPr>
                      <m:t>―</m:t>
                    </m:r>
                  </m:lim>
                </m:limUpp>
              </m:e>
              <m:sup>
                <m:r>
                  <m:rPr>
                    <m:sty m:val="p"/>
                  </m:rPr>
                  <m:t>2</m:t>
                </m:r>
              </m:sup>
            </m:sSup>
            <m:r>
              <m:t/>
            </m:r>
            <m:r>
              <m:rPr>
                <m:sty m:val="i"/>
              </m:rPr>
              <m:t>𝐈</m:t>
            </m:r>
          </m:e>
        </m:box>
      </m:oMath>
    </w:p>
    <w:p>
      <w:pPr>
        <w:jc w:val="center"/>
      </w:pPr>
      <w:r>
        <w:rPr>
          <w:i/>
        </w:rPr>
        <w:t>Equation 7</w:t>
      </w:r>
    </w:p>
    <w:p>
      <w:pPr>
        <w:jc w:val="both"/>
      </w:pPr>
      <w:r>
        <w:t>At delta = 0.05 it lifted minimum-variance Sharpe from 0.49 to 0.55, left maximum-Sharpe about flat, and raised effective holdings from 10 to 13 names (Table A4, Figures A7-A8).</w:t>
      </w:r>
    </w:p>
    <w:p>
      <w:pPr>
        <w:jc w:val="both"/>
      </w:pPr>
      <w:r>
        <w:t>Shrinkage is worth keeping: it costs nothing, spreads each fund across more names, and lifted the minimum-variance Sharpe from 0.49 to 0.55 without denting the max-Sharpe fund's edge. The shrink was small (delta around 0.05) because a full year of data on 60 assets isn't as noisy as feared - the sample covariance was already decent, so the estimator only nudged it. On a shorter window or a wider universe, expect it to matter more.</w:t>
      </w:r>
    </w:p>
    <w:p>
      <w:pPr>
        <w:pStyle w:val="Heading2"/>
      </w:pPr>
      <w:r>
        <w:t>5.2 A two-stage portfolio of portfolios</w:t>
      </w:r>
    </w:p>
    <w:p>
      <w:pPr>
        <w:jc w:val="both"/>
      </w:pPr>
      <w:r>
        <w:t>The two-stage fund builds an equity sleeve and a crypto sleeve, then allocates across the two, so the cross-asset decision rests on a 2x2 covariance rather than a 60x60:</w:t>
      </w:r>
    </w:p>
    <w:p>
      <w:pPr>
        <w:jc w:val="center"/>
      </w:pPr>
      <m:oMath>
        <m:box>
          <m:e>
            <m:r>
              <m:rPr>
                <m:sty m:val="i"/>
              </m:rPr>
              <m:t>𝐰</m:t>
            </m:r>
            <m:r>
              <m:rPr>
                <m:sty m:val="p"/>
              </m:rPr>
              <m:t>=</m:t>
            </m:r>
            <m:sSub>
              <m:e>
                <m:r>
                  <m:rPr>
                    <m:sty m:val="i"/>
                  </m:rPr>
                  <m:t>a</m:t>
                </m:r>
              </m:e>
              <m:sub>
                <m:box>
                  <m:e>
                    <m:box>
                      <m:e>
                        <m:r>
                          <m:rPr>
                            <m:sty m:val="p"/>
                          </m:rPr>
                          <m:t>e</m:t>
                        </m:r>
                        <m:r>
                          <m:rPr>
                            <m:sty m:val="p"/>
                          </m:rPr>
                          <m:t>q</m:t>
                        </m:r>
                      </m:e>
                    </m:box>
                  </m:e>
                </m:box>
              </m:sub>
            </m:sSub>
            <m:r>
              <m:t/>
            </m:r>
            <m:sSub>
              <m:e>
                <m:r>
                  <m:rPr>
                    <m:sty m:val="i"/>
                  </m:rPr>
                  <m:t>𝐰</m:t>
                </m:r>
              </m:e>
              <m:sub>
                <m:box>
                  <m:e>
                    <m:box>
                      <m:e>
                        <m:r>
                          <m:rPr>
                            <m:sty m:val="p"/>
                          </m:rPr>
                          <m:t>e</m:t>
                        </m:r>
                        <m:r>
                          <m:rPr>
                            <m:sty m:val="p"/>
                          </m:rPr>
                          <m:t>q</m:t>
                        </m:r>
                      </m:e>
                    </m:box>
                  </m:e>
                </m:box>
              </m:sub>
            </m:sSub>
            <m:r>
              <m:t/>
            </m:r>
            <m:r>
              <m:rPr>
                <m:sty m:val="p"/>
              </m:rPr>
              <m:t>⊕</m:t>
            </m:r>
            <m:r>
              <m:t/>
            </m:r>
            <m:sSub>
              <m:e>
                <m:r>
                  <m:rPr>
                    <m:sty m:val="i"/>
                  </m:rPr>
                  <m:t>a</m:t>
                </m:r>
              </m:e>
              <m:sub>
                <m:box>
                  <m:e>
                    <m:box>
                      <m:e>
                        <m:r>
                          <m:rPr>
                            <m:sty m:val="p"/>
                          </m:rPr>
                          <m:t>c</m:t>
                        </m:r>
                        <m:r>
                          <m:rPr>
                            <m:sty m:val="p"/>
                          </m:rPr>
                          <m:t>r</m:t>
                        </m:r>
                      </m:e>
                    </m:box>
                  </m:e>
                </m:box>
              </m:sub>
            </m:sSub>
            <m:r>
              <m:t/>
            </m:r>
            <m:sSub>
              <m:e>
                <m:r>
                  <m:rPr>
                    <m:sty m:val="i"/>
                  </m:rPr>
                  <m:t>𝐰</m:t>
                </m:r>
              </m:e>
              <m:sub>
                <m:box>
                  <m:e>
                    <m:box>
                      <m:e>
                        <m:r>
                          <m:rPr>
                            <m:sty m:val="p"/>
                          </m:rPr>
                          <m:t>c</m:t>
                        </m:r>
                        <m:r>
                          <m:rPr>
                            <m:sty m:val="p"/>
                          </m:rPr>
                          <m:t>r</m:t>
                        </m:r>
                      </m:e>
                    </m:box>
                  </m:e>
                </m:box>
              </m:sub>
            </m:sSub>
          </m:e>
        </m:box>
      </m:oMath>
    </w:p>
    <w:p>
      <w:pPr>
        <w:jc w:val="center"/>
      </w:pPr>
      <w:r>
        <w:rPr>
          <w:i/>
        </w:rPr>
        <w:t>Equation 8</w:t>
      </w:r>
    </w:p>
    <w:p>
      <w:pPr>
        <w:jc w:val="both"/>
      </w:pPr>
      <w:r>
        <w:t>Like-for-like (same window, rebalance, method, sample), the 3-parameter cross-asset decision matched the 1830-parameter one-stage fund almost exactly: minimum-variance 0.49 to 0.50, maximum-Sharpe 1.03 to 0.98 (Table A5, Figures A9-A10).</w:t>
      </w:r>
    </w:p>
    <w:p>
      <w:pPr>
        <w:jc w:val="both"/>
      </w:pPr>
      <w:r>
        <w:t>The finding is the tie itself: splitting the problem into a stock sleeve and a crypto sleeve, then mixing the two, matched optimising all 60 assets at once. That means the 1,830-number cross-asset covariance the big model works so hard to estimate is mostly noise - throwing it away for a simple 2x2 lost nothing. Simpler wins when the extra detail is unreliable, and here it was.</w:t>
      </w:r>
    </w:p>
    <w:p>
      <w:pPr>
        <w:pStyle w:val="Heading2"/>
      </w:pPr>
      <w:r>
        <w:t>5.3 Sentiment decay on no-news days</w:t>
      </w:r>
    </w:p>
    <w:p>
      <w:pPr>
        <w:jc w:val="both"/>
      </w:pPr>
      <w:r>
        <w:t>Rather than snapping a ticker's sentiment to zero when its news stops, decay carries the last score forward, fading it over a half-life H:</w:t>
      </w:r>
    </w:p>
    <w:p>
      <w:pPr>
        <w:jc w:val="center"/>
      </w:pPr>
      <m:oMath>
        <m:box>
          <m:e>
            <m:sSub>
              <m:e>
                <m:limUpp>
                  <m:e>
                    <m:box>
                      <m:e>
                        <m:r>
                          <m:rPr>
                            <m:sty m:val="i"/>
                          </m:rPr>
                          <m:t>s</m:t>
                        </m:r>
                      </m:e>
                    </m:box>
                  </m:e>
                  <m:lim>
                    <m:r>
                      <m:rPr>
                        <m:sty m:val="p"/>
                      </m:rPr>
                      <m:t>~</m:t>
                    </m:r>
                  </m:lim>
                </m:limUpp>
              </m:e>
              <m:sub>
                <m:box>
                  <m:e>
                    <m:r>
                      <m:rPr>
                        <m:sty m:val="i"/>
                      </m:rPr>
                      <m:t>i</m:t>
                    </m:r>
                    <m:r>
                      <m:rPr>
                        <m:sty m:val="p"/>
                      </m:rPr>
                      <m:t>,</m:t>
                    </m:r>
                    <m:r>
                      <m:rPr>
                        <m:sty m:val="i"/>
                      </m:rPr>
                      <m:t>t</m:t>
                    </m:r>
                  </m:e>
                </m:box>
              </m:sub>
            </m:sSub>
            <m:r>
              <m:rPr>
                <m:sty m:val="p"/>
              </m:rPr>
              <m:t>=</m:t>
            </m:r>
            <m:sSub>
              <m:e>
                <m:r>
                  <m:rPr>
                    <m:sty m:val="i"/>
                  </m:rPr>
                  <m:t>s</m:t>
                </m:r>
              </m:e>
              <m:sub>
                <m:box>
                  <m:e>
                    <m:r>
                      <m:rPr>
                        <m:sty m:val="i"/>
                      </m:rPr>
                      <m:t>i</m:t>
                    </m:r>
                    <m:r>
                      <m:rPr>
                        <m:sty m:val="p"/>
                      </m:rPr>
                      <m:t>,</m:t>
                    </m:r>
                    <m:r>
                      <m:rPr>
                        <m:sty m:val="i"/>
                      </m:rPr>
                      <m:t>τ</m:t>
                    </m:r>
                  </m:e>
                </m:box>
              </m:sub>
            </m:sSub>
            <m:r>
              <m:rPr>
                <m:sty m:val="p"/>
              </m:rPr>
              <m:t>·</m:t>
            </m:r>
            <m:sSup>
              <m:e>
                <m:r>
                  <m:rPr>
                    <m:sty m:val="p"/>
                  </m:rPr>
                  <m:t>2</m:t>
                </m:r>
              </m:e>
              <m:sup>
                <m:box>
                  <m:e>
                    <m:r>
                      <m:rPr>
                        <m:sty m:val="p"/>
                      </m:rPr>
                      <m:t>−</m:t>
                    </m:r>
                    <m:r>
                      <m:rPr>
                        <m:sty m:val="p"/>
                      </m:rPr>
                      <m:t>(</m:t>
                    </m:r>
                    <m:r>
                      <m:rPr>
                        <m:sty m:val="i"/>
                      </m:rPr>
                      <m:t>t</m:t>
                    </m:r>
                    <m:r>
                      <m:rPr>
                        <m:sty m:val="p"/>
                      </m:rPr>
                      <m:t>−</m:t>
                    </m:r>
                    <m:r>
                      <m:rPr>
                        <m:sty m:val="i"/>
                      </m:rPr>
                      <m:t>τ</m:t>
                    </m:r>
                    <m:r>
                      <m:rPr>
                        <m:sty m:val="p"/>
                      </m:rPr>
                      <m:t>)</m:t>
                    </m:r>
                    <m:r>
                      <m:rPr>
                        <m:sty m:val="p"/>
                      </m:rPr>
                      <m:t>/</m:t>
                    </m:r>
                    <m:r>
                      <m:rPr>
                        <m:sty m:val="i"/>
                      </m:rPr>
                      <m:t>H</m:t>
                    </m:r>
                  </m:e>
                </m:box>
              </m:sup>
            </m:sSup>
            <m:r>
              <m:rPr>
                <m:sty m:val="p"/>
              </m:rPr>
              <m:t>,</m:t>
            </m:r>
            <m:r>
              <m:t/>
            </m:r>
            <m:r>
              <m:rPr>
                <m:sty m:val="i"/>
              </m:rPr>
              <m:t>τ</m:t>
            </m:r>
            <m:r>
              <m:rPr>
                <m:sty m:val="p"/>
              </m:rPr>
              <m:t>=</m:t>
            </m:r>
            <m:r>
              <m:rPr>
                <m:nor/>
              </m:rPr>
              <m:t>last headline day</m:t>
            </m:r>
            <m:r>
              <m:rPr>
                <m:sty m:val="p"/>
              </m:rPr>
              <m:t>≤</m:t>
            </m:r>
            <m:r>
              <m:rPr>
                <m:sty m:val="i"/>
              </m:rPr>
              <m:t>t</m:t>
            </m:r>
          </m:e>
        </m:box>
      </m:oMath>
    </w:p>
    <w:p>
      <w:pPr>
        <w:jc w:val="center"/>
      </w:pPr>
      <w:r>
        <w:rPr>
          <w:i/>
        </w:rPr>
        <w:t>Equation 9</w:t>
      </w:r>
    </w:p>
    <w:p>
      <w:pPr>
        <w:jc w:val="both"/>
      </w:pPr>
      <w:r>
        <w:t>At a 5-day half-life (chosen ex ante, look-ahead safe), decay softened the drag without removing it: minimum-variance 0.31 to 0.33, maximum-Sharpe 0.91 to 0.93, both still below base. A sweep over 2, 5, 10 and 21 days barely moves it (Table A6, Figures A11-A12).</w:t>
      </w:r>
    </w:p>
    <w:p>
      <w:pPr>
        <w:jc w:val="both"/>
      </w:pPr>
      <w:r>
        <w:t>Letting yesterday's news fade instead of snapping to zero helped a little and helped consistently - about +0.02 Sharpe on both funds - and the sweep shows the exact half-life barely matters. It's a real, if small, improvement: a fading memory is less jumpy than a hard reset. But it only softens a losing signal, so decay is worth keeping as the sensible default, not as the fix that makes sentiment pay.</w:t>
      </w:r>
    </w:p>
    <w:p>
      <w:pPr>
        <w:pStyle w:val="Heading1"/>
      </w:pPr>
      <w:r>
        <w:t>6. The app and the investor journey</w:t>
      </w:r>
    </w:p>
    <w:p>
      <w:pPr>
        <w:jc w:val="both"/>
      </w:pPr>
      <w:r>
        <w:t>The Streamlit app supports the full journey - compare funds, read a fact sheet (growth, drawdown, holdings), read the sentiment analytics, and build an allocation - reading precomputed artifacts only, never a live backtest. Every fund page leads with its drawdown and the market benchmark, a deliberate departure from product pages that show only growth.</w:t>
      </w:r>
    </w:p>
    <w:p>
      <w:pPr>
        <w:jc w:val="both"/>
      </w:pPr>
      <w:r>
        <w:t>All performance figures in this report are gross of fees. In the app's allocation view a fixed 0.75% annual management fee, accrued daily, is applied so the investor sees the net-of-fee outcome they would keep. In keeping with a low-cost, index-style product for a first-time investor, the fund charges a single management fee and no performance fee - the manager does not take a share of the investor's gains.</w:t>
      </w:r>
    </w:p>
    <w:p>
      <w:pPr>
        <w:jc w:val="both"/>
      </w:pPr>
      <w:r>
        <w:t>The five app screens - the offering, the fund comparison, a fund fact sheet, the sentiment analytics, and the allocation blender - are in Figures A13-A17.</w:t>
      </w:r>
    </w:p>
    <w:p>
      <w:pPr>
        <w:jc w:val="both"/>
      </w:pPr>
      <w:r>
        <w:t>A first-timer lands on the compare screen and sees, plainly, which funds beat a simple market basket and which didn't - no hard sell. They open a fund's fact sheet and get its growth, its worst fall, and what it actually holds, side by side. They glance at the market mood, then build a blend and watch what they'd keep after fees. Each step shows the downside as clearly as the upside, so trust is earned by the order things appear in, not by decoration.</w:t>
      </w:r>
    </w:p>
    <w:p>
      <w:pPr>
        <w:pStyle w:val="Heading1"/>
      </w:pPr>
      <w:r>
        <w:t>7. Critical reflection and recommendations</w:t>
      </w:r>
    </w:p>
    <w:p>
      <w:pPr>
        <w:jc w:val="both"/>
      </w:pPr>
      <w:r>
        <w:t>The funds run on plain sample estimates over a short, single-regime window; the minimum-variance funds lose to naive diversification; the sentiment signal is weak and the fusion underperforms. Three tested responses (Section 5) point to concrete next steps.</w:t>
      </w:r>
    </w:p>
    <w:p>
      <w:pPr>
        <w:jc w:val="both"/>
      </w:pPr>
      <w:r>
        <w:t>1. Adopt covariance shrinkage across every fund. It cost nothing to add, cut turnover, and lifted the minimum-variance Sharpe, and on a shorter window or a wider universe it would help more. It is the cheapest reliability upgrade on the table.</w:t>
      </w:r>
    </w:p>
    <w:p>
      <w:pPr>
        <w:jc w:val="both"/>
      </w:pPr>
      <w:r>
        <w:t>2. Replace the general-purpose sentiment reader with a finance-specific one. The current signal barely moves and dragged returns when used; a lexicon tuned to market language, or a model that reacts to real events, has a chance of carrying information this one doesn't. Fix the signal before touching the tilt.</w:t>
      </w:r>
    </w:p>
    <w:p>
      <w:pPr>
        <w:jc w:val="both"/>
      </w:pPr>
      <w:r>
        <w:t>3. Charge realistic trading costs in the backtest before trusting any fund's edge. Every result here assumes free trading, and the max-Sharpe fund rebalances hardest, so a cost model would test whether its lead survives contact with reality. A fund that only wins for free is not one you would sell.</w:t>
      </w:r>
    </w:p>
    <w:p>
      <w:pPr>
        <w:pStyle w:val="Heading1"/>
      </w:pPr>
      <w:r>
        <w:t>References</w:t>
      </w:r>
    </w:p>
    <w:p>
      <w:pPr>
        <w:jc w:val="both"/>
      </w:pPr>
      <w:r>
        <w:t>Hutto, C.J. and Gilbert, E.E. (2014). VADER: A Parsimonious Rule-based Model for Sentiment Analysis of Social Media Text. Proceedings of the Eighth International AAAI Conference on Weblogs and Social Media (ICWSM-14).</w:t>
      </w:r>
    </w:p>
    <w:p>
      <w:pPr>
        <w:jc w:val="both"/>
      </w:pPr>
      <w:r>
        <w:t>Ledoit, O. and Wolf, M. (2004). Honey, I Shrunk the Sample Covariance Matrix. The Journal of Portfolio Management, 30(4), 110-119.</w:t>
      </w:r>
    </w:p>
    <w:p>
      <w:pPr>
        <w:jc w:val="both"/>
      </w:pPr>
      <w:r>
        <w:t>Spinu, F. (2013). An Algorithm for Computing Risk Parity Weights. SSRN Working Paper 2297383. https://doi.org/10.2139/ssrn.2297383</w:t>
      </w:r>
    </w:p>
    <w:p>
      <w:pPr>
        <w:jc w:val="both"/>
      </w:pPr>
      <w:r>
        <w:t>Data: daily prices for 50 US large-cap equities and 10 cryptocurrencies, and daily equity news headlines, 2020-2023, provided by the course (backup source: openbondassetpricing.com).</w:t>
      </w:r>
    </w:p>
    <w:p>
      <w:pPr>
        <w:pStyle w:val="Heading1"/>
      </w:pPr>
      <w:r>
        <w:t>Appendix A - Exhibits</w:t>
      </w:r>
    </w:p>
    <w:p>
      <w:r>
        <w:rPr>
          <w:i/>
        </w:rPr>
        <w:t>Table A1. Out-of-sample performance across the eleven funds (annualised, rf = 0).</w:t>
      </w:r>
    </w:p>
    <w:tbl>
      <w:tblPr>
        <w:tblStyle w:val="LightGrid-Accent1"/>
        <w:tblW w:type="auto" w:w="0"/>
        <w:tblLook w:firstColumn="1" w:firstRow="1" w:lastColumn="0" w:lastRow="0" w:noHBand="0" w:noVBand="1" w:val="04A0"/>
      </w:tblPr>
      <w:tblGrid>
        <w:gridCol w:w="1817"/>
        <w:gridCol w:w="1817"/>
        <w:gridCol w:w="1817"/>
        <w:gridCol w:w="1817"/>
        <w:gridCol w:w="1817"/>
      </w:tblGrid>
      <w:tr>
        <w:tc>
          <w:tcPr>
            <w:tcW w:type="dxa" w:w="1817"/>
          </w:tcPr>
          <w:p>
            <w:r>
              <w:rPr>
                <w:b/>
              </w:rPr>
              <w:t>fund</w:t>
            </w:r>
          </w:p>
        </w:tc>
        <w:tc>
          <w:tcPr>
            <w:tcW w:type="dxa" w:w="1817"/>
          </w:tcPr>
          <w:p>
            <w:r>
              <w:rPr>
                <w:b/>
              </w:rPr>
              <w:t>ann_return</w:t>
            </w:r>
          </w:p>
        </w:tc>
        <w:tc>
          <w:tcPr>
            <w:tcW w:type="dxa" w:w="1817"/>
          </w:tcPr>
          <w:p>
            <w:r>
              <w:rPr>
                <w:b/>
              </w:rPr>
              <w:t>ann_vol</w:t>
            </w:r>
          </w:p>
        </w:tc>
        <w:tc>
          <w:tcPr>
            <w:tcW w:type="dxa" w:w="1817"/>
          </w:tcPr>
          <w:p>
            <w:r>
              <w:rPr>
                <w:b/>
              </w:rPr>
              <w:t>sharpe</w:t>
            </w:r>
          </w:p>
        </w:tc>
        <w:tc>
          <w:tcPr>
            <w:tcW w:type="dxa" w:w="1817"/>
          </w:tcPr>
          <w:p>
            <w:r>
              <w:rPr>
                <w:b/>
              </w:rPr>
              <w:t>max_drawdown</w:t>
            </w:r>
          </w:p>
        </w:tc>
      </w:tr>
      <w:tr>
        <w:tc>
          <w:tcPr>
            <w:tcW w:type="dxa" w:w="1817"/>
          </w:tcPr>
          <w:p>
            <w:r>
              <w:t>Equity Min-Variance</w:t>
            </w:r>
          </w:p>
        </w:tc>
        <w:tc>
          <w:tcPr>
            <w:tcW w:type="dxa" w:w="1817"/>
          </w:tcPr>
          <w:p>
            <w:r>
              <w:t>6.2%</w:t>
            </w:r>
          </w:p>
        </w:tc>
        <w:tc>
          <w:tcPr>
            <w:tcW w:type="dxa" w:w="1817"/>
          </w:tcPr>
          <w:p>
            <w:r>
              <w:t>12.8%</w:t>
            </w:r>
          </w:p>
        </w:tc>
        <w:tc>
          <w:tcPr>
            <w:tcW w:type="dxa" w:w="1817"/>
          </w:tcPr>
          <w:p>
            <w:r>
              <w:t>0.49</w:t>
            </w:r>
          </w:p>
        </w:tc>
        <w:tc>
          <w:tcPr>
            <w:tcW w:type="dxa" w:w="1817"/>
          </w:tcPr>
          <w:p>
            <w:r>
              <w:t>-15.4%</w:t>
            </w:r>
          </w:p>
        </w:tc>
      </w:tr>
      <w:tr>
        <w:tc>
          <w:tcPr>
            <w:tcW w:type="dxa" w:w="1817"/>
          </w:tcPr>
          <w:p>
            <w:r>
              <w:t>Equity Max-Sharpe</w:t>
            </w:r>
          </w:p>
        </w:tc>
        <w:tc>
          <w:tcPr>
            <w:tcW w:type="dxa" w:w="1817"/>
          </w:tcPr>
          <w:p>
            <w:r>
              <w:t>10.7%</w:t>
            </w:r>
          </w:p>
        </w:tc>
        <w:tc>
          <w:tcPr>
            <w:tcW w:type="dxa" w:w="1817"/>
          </w:tcPr>
          <w:p>
            <w:r>
              <w:t>18.2%</w:t>
            </w:r>
          </w:p>
        </w:tc>
        <w:tc>
          <w:tcPr>
            <w:tcW w:type="dxa" w:w="1817"/>
          </w:tcPr>
          <w:p>
            <w:r>
              <w:t>0.59</w:t>
            </w:r>
          </w:p>
        </w:tc>
        <w:tc>
          <w:tcPr>
            <w:tcW w:type="dxa" w:w="1817"/>
          </w:tcPr>
          <w:p>
            <w:r>
              <w:t>-26.1%</w:t>
            </w:r>
          </w:p>
        </w:tc>
      </w:tr>
      <w:tr>
        <w:tc>
          <w:tcPr>
            <w:tcW w:type="dxa" w:w="1817"/>
          </w:tcPr>
          <w:p>
            <w:r>
              <w:t>Equity Risk Parity</w:t>
            </w:r>
          </w:p>
        </w:tc>
        <w:tc>
          <w:tcPr>
            <w:tcW w:type="dxa" w:w="1817"/>
          </w:tcPr>
          <w:p>
            <w:r>
              <w:t>10.6%</w:t>
            </w:r>
          </w:p>
        </w:tc>
        <w:tc>
          <w:tcPr>
            <w:tcW w:type="dxa" w:w="1817"/>
          </w:tcPr>
          <w:p>
            <w:r>
              <w:t>14.6%</w:t>
            </w:r>
          </w:p>
        </w:tc>
        <w:tc>
          <w:tcPr>
            <w:tcW w:type="dxa" w:w="1817"/>
          </w:tcPr>
          <w:p>
            <w:r>
              <w:t>0.72</w:t>
            </w:r>
          </w:p>
        </w:tc>
        <w:tc>
          <w:tcPr>
            <w:tcW w:type="dxa" w:w="1817"/>
          </w:tcPr>
          <w:p>
            <w:r>
              <w:t>-18.5%</w:t>
            </w:r>
          </w:p>
        </w:tc>
      </w:tr>
      <w:tr>
        <w:tc>
          <w:tcPr>
            <w:tcW w:type="dxa" w:w="1817"/>
          </w:tcPr>
          <w:p>
            <w:r>
              <w:t>Crypto Min-Variance</w:t>
            </w:r>
          </w:p>
        </w:tc>
        <w:tc>
          <w:tcPr>
            <w:tcW w:type="dxa" w:w="1817"/>
          </w:tcPr>
          <w:p>
            <w:r>
              <w:t>30.5%</w:t>
            </w:r>
          </w:p>
        </w:tc>
        <w:tc>
          <w:tcPr>
            <w:tcW w:type="dxa" w:w="1817"/>
          </w:tcPr>
          <w:p>
            <w:r>
              <w:t>59.5%</w:t>
            </w:r>
          </w:p>
        </w:tc>
        <w:tc>
          <w:tcPr>
            <w:tcW w:type="dxa" w:w="1817"/>
          </w:tcPr>
          <w:p>
            <w:r>
              <w:t>0.51</w:t>
            </w:r>
          </w:p>
        </w:tc>
        <w:tc>
          <w:tcPr>
            <w:tcW w:type="dxa" w:w="1817"/>
          </w:tcPr>
          <w:p>
            <w:r>
              <w:t>-75.3%</w:t>
            </w:r>
          </w:p>
        </w:tc>
      </w:tr>
      <w:tr>
        <w:tc>
          <w:tcPr>
            <w:tcW w:type="dxa" w:w="1817"/>
          </w:tcPr>
          <w:p>
            <w:r>
              <w:t>Crypto Max-Sharpe</w:t>
            </w:r>
          </w:p>
        </w:tc>
        <w:tc>
          <w:tcPr>
            <w:tcW w:type="dxa" w:w="1817"/>
          </w:tcPr>
          <w:p>
            <w:r>
              <w:t>-15.3%</w:t>
            </w:r>
          </w:p>
        </w:tc>
        <w:tc>
          <w:tcPr>
            <w:tcW w:type="dxa" w:w="1817"/>
          </w:tcPr>
          <w:p>
            <w:r>
              <w:t>75.6%</w:t>
            </w:r>
          </w:p>
        </w:tc>
        <w:tc>
          <w:tcPr>
            <w:tcW w:type="dxa" w:w="1817"/>
          </w:tcPr>
          <w:p>
            <w:r>
              <w:t>-0.20</w:t>
            </w:r>
          </w:p>
        </w:tc>
        <w:tc>
          <w:tcPr>
            <w:tcW w:type="dxa" w:w="1817"/>
          </w:tcPr>
          <w:p>
            <w:r>
              <w:t>-90.9%</w:t>
            </w:r>
          </w:p>
        </w:tc>
      </w:tr>
      <w:tr>
        <w:tc>
          <w:tcPr>
            <w:tcW w:type="dxa" w:w="1817"/>
          </w:tcPr>
          <w:p>
            <w:r>
              <w:t>Crypto Risk Parity</w:t>
            </w:r>
          </w:p>
        </w:tc>
        <w:tc>
          <w:tcPr>
            <w:tcW w:type="dxa" w:w="1817"/>
          </w:tcPr>
          <w:p>
            <w:r>
              <w:t>33.4%</w:t>
            </w:r>
          </w:p>
        </w:tc>
        <w:tc>
          <w:tcPr>
            <w:tcW w:type="dxa" w:w="1817"/>
          </w:tcPr>
          <w:p>
            <w:r>
              <w:t>72.7%</w:t>
            </w:r>
          </w:p>
        </w:tc>
        <w:tc>
          <w:tcPr>
            <w:tcW w:type="dxa" w:w="1817"/>
          </w:tcPr>
          <w:p>
            <w:r>
              <w:t>0.46</w:t>
            </w:r>
          </w:p>
        </w:tc>
        <w:tc>
          <w:tcPr>
            <w:tcW w:type="dxa" w:w="1817"/>
          </w:tcPr>
          <w:p>
            <w:r>
              <w:t>-83.5%</w:t>
            </w:r>
          </w:p>
        </w:tc>
      </w:tr>
      <w:tr>
        <w:tc>
          <w:tcPr>
            <w:tcW w:type="dxa" w:w="1817"/>
          </w:tcPr>
          <w:p>
            <w:r>
              <w:t>Min-Variance</w:t>
            </w:r>
          </w:p>
        </w:tc>
        <w:tc>
          <w:tcPr>
            <w:tcW w:type="dxa" w:w="1817"/>
          </w:tcPr>
          <w:p>
            <w:r>
              <w:t>6.3%</w:t>
            </w:r>
          </w:p>
        </w:tc>
        <w:tc>
          <w:tcPr>
            <w:tcW w:type="dxa" w:w="1817"/>
          </w:tcPr>
          <w:p>
            <w:r>
              <w:t>12.8%</w:t>
            </w:r>
          </w:p>
        </w:tc>
        <w:tc>
          <w:tcPr>
            <w:tcW w:type="dxa" w:w="1817"/>
          </w:tcPr>
          <w:p>
            <w:r>
              <w:t>0.49</w:t>
            </w:r>
          </w:p>
        </w:tc>
        <w:tc>
          <w:tcPr>
            <w:tcW w:type="dxa" w:w="1817"/>
          </w:tcPr>
          <w:p>
            <w:r>
              <w:t>-15.6%</w:t>
            </w:r>
          </w:p>
        </w:tc>
      </w:tr>
      <w:tr>
        <w:tc>
          <w:tcPr>
            <w:tcW w:type="dxa" w:w="1817"/>
          </w:tcPr>
          <w:p>
            <w:r>
              <w:t>Max-Sharpe</w:t>
            </w:r>
          </w:p>
        </w:tc>
        <w:tc>
          <w:tcPr>
            <w:tcW w:type="dxa" w:w="1817"/>
          </w:tcPr>
          <w:p>
            <w:r>
              <w:t>25.5%</w:t>
            </w:r>
          </w:p>
        </w:tc>
        <w:tc>
          <w:tcPr>
            <w:tcW w:type="dxa" w:w="1817"/>
          </w:tcPr>
          <w:p>
            <w:r>
              <w:t>24.7%</w:t>
            </w:r>
          </w:p>
        </w:tc>
        <w:tc>
          <w:tcPr>
            <w:tcW w:type="dxa" w:w="1817"/>
          </w:tcPr>
          <w:p>
            <w:r>
              <w:t>1.03</w:t>
            </w:r>
          </w:p>
        </w:tc>
        <w:tc>
          <w:tcPr>
            <w:tcW w:type="dxa" w:w="1817"/>
          </w:tcPr>
          <w:p>
            <w:r>
              <w:t>-26.3%</w:t>
            </w:r>
          </w:p>
        </w:tc>
      </w:tr>
      <w:tr>
        <w:tc>
          <w:tcPr>
            <w:tcW w:type="dxa" w:w="1817"/>
          </w:tcPr>
          <w:p>
            <w:r>
              <w:t>Risk Parity</w:t>
            </w:r>
          </w:p>
        </w:tc>
        <w:tc>
          <w:tcPr>
            <w:tcW w:type="dxa" w:w="1817"/>
          </w:tcPr>
          <w:p>
            <w:r>
              <w:t>14.4%</w:t>
            </w:r>
          </w:p>
        </w:tc>
        <w:tc>
          <w:tcPr>
            <w:tcW w:type="dxa" w:w="1817"/>
          </w:tcPr>
          <w:p>
            <w:r>
              <w:t>16.0%</w:t>
            </w:r>
          </w:p>
        </w:tc>
        <w:tc>
          <w:tcPr>
            <w:tcW w:type="dxa" w:w="1817"/>
          </w:tcPr>
          <w:p>
            <w:r>
              <w:t>0.90</w:t>
            </w:r>
          </w:p>
        </w:tc>
        <w:tc>
          <w:tcPr>
            <w:tcW w:type="dxa" w:w="1817"/>
          </w:tcPr>
          <w:p>
            <w:r>
              <w:t>-19.8%</w:t>
            </w:r>
          </w:p>
        </w:tc>
      </w:tr>
      <w:tr>
        <w:tc>
          <w:tcPr>
            <w:tcW w:type="dxa" w:w="1817"/>
          </w:tcPr>
          <w:p>
            <w:r>
              <w:t>Two-Stage Min-Variance</w:t>
            </w:r>
          </w:p>
        </w:tc>
        <w:tc>
          <w:tcPr>
            <w:tcW w:type="dxa" w:w="1817"/>
          </w:tcPr>
          <w:p>
            <w:r>
              <w:t>6.4%</w:t>
            </w:r>
          </w:p>
        </w:tc>
        <w:tc>
          <w:tcPr>
            <w:tcW w:type="dxa" w:w="1817"/>
          </w:tcPr>
          <w:p>
            <w:r>
              <w:t>12.8%</w:t>
            </w:r>
          </w:p>
        </w:tc>
        <w:tc>
          <w:tcPr>
            <w:tcW w:type="dxa" w:w="1817"/>
          </w:tcPr>
          <w:p>
            <w:r>
              <w:t>0.50</w:t>
            </w:r>
          </w:p>
        </w:tc>
        <w:tc>
          <w:tcPr>
            <w:tcW w:type="dxa" w:w="1817"/>
          </w:tcPr>
          <w:p>
            <w:r>
              <w:t>-15.6%</w:t>
            </w:r>
          </w:p>
        </w:tc>
      </w:tr>
      <w:tr>
        <w:tc>
          <w:tcPr>
            <w:tcW w:type="dxa" w:w="1817"/>
          </w:tcPr>
          <w:p>
            <w:r>
              <w:t>Two-Stage Max-Sharpe</w:t>
            </w:r>
          </w:p>
        </w:tc>
        <w:tc>
          <w:tcPr>
            <w:tcW w:type="dxa" w:w="1817"/>
          </w:tcPr>
          <w:p>
            <w:r>
              <w:t>24.2%</w:t>
            </w:r>
          </w:p>
        </w:tc>
        <w:tc>
          <w:tcPr>
            <w:tcW w:type="dxa" w:w="1817"/>
          </w:tcPr>
          <w:p>
            <w:r>
              <w:t>24.7%</w:t>
            </w:r>
          </w:p>
        </w:tc>
        <w:tc>
          <w:tcPr>
            <w:tcW w:type="dxa" w:w="1817"/>
          </w:tcPr>
          <w:p>
            <w:r>
              <w:t>0.98</w:t>
            </w:r>
          </w:p>
        </w:tc>
        <w:tc>
          <w:tcPr>
            <w:tcW w:type="dxa" w:w="1817"/>
          </w:tcPr>
          <w:p>
            <w:r>
              <w:t>-26.3%</w:t>
            </w:r>
          </w:p>
        </w:tc>
      </w:tr>
    </w:tbl>
    <w:p>
      <w:r>
        <w:rPr>
          <w:i/>
        </w:rPr>
        <w:t>Table A2. Each fund against the equal-weight 50-stock market (annualised).</w:t>
      </w:r>
    </w:p>
    <w:tbl>
      <w:tblPr>
        <w:tblStyle w:val="LightGrid-Accent1"/>
        <w:tblW w:type="auto" w:w="0"/>
        <w:tblLook w:firstColumn="1" w:firstRow="1" w:lastColumn="0" w:lastRow="0" w:noHBand="0" w:noVBand="1" w:val="04A0"/>
      </w:tblPr>
      <w:tblGrid>
        <w:gridCol w:w="1817"/>
        <w:gridCol w:w="1817"/>
        <w:gridCol w:w="1817"/>
        <w:gridCol w:w="1817"/>
        <w:gridCol w:w="1817"/>
      </w:tblGrid>
      <w:tr>
        <w:tc>
          <w:tcPr>
            <w:tcW w:type="dxa" w:w="1817"/>
          </w:tcPr>
          <w:p>
            <w:r>
              <w:rPr>
                <w:b/>
              </w:rPr>
              <w:t>fund</w:t>
            </w:r>
          </w:p>
        </w:tc>
        <w:tc>
          <w:tcPr>
            <w:tcW w:type="dxa" w:w="1817"/>
          </w:tcPr>
          <w:p>
            <w:r>
              <w:rPr>
                <w:b/>
              </w:rPr>
              <w:t>sharpe</w:t>
            </w:r>
          </w:p>
        </w:tc>
        <w:tc>
          <w:tcPr>
            <w:tcW w:type="dxa" w:w="1817"/>
          </w:tcPr>
          <w:p>
            <w:r>
              <w:rPr>
                <w:b/>
              </w:rPr>
              <w:t>excess_ann_return</w:t>
            </w:r>
          </w:p>
        </w:tc>
        <w:tc>
          <w:tcPr>
            <w:tcW w:type="dxa" w:w="1817"/>
          </w:tcPr>
          <w:p>
            <w:r>
              <w:rPr>
                <w:b/>
              </w:rPr>
              <w:t>sharpe_minus_bench</w:t>
            </w:r>
          </w:p>
        </w:tc>
        <w:tc>
          <w:tcPr>
            <w:tcW w:type="dxa" w:w="1817"/>
          </w:tcPr>
          <w:p>
            <w:r>
              <w:rPr>
                <w:b/>
              </w:rPr>
              <w:t>beats_benchmark</w:t>
            </w:r>
          </w:p>
        </w:tc>
      </w:tr>
      <w:tr>
        <w:tc>
          <w:tcPr>
            <w:tcW w:type="dxa" w:w="1817"/>
          </w:tcPr>
          <w:p>
            <w:r>
              <w:t>Equity Min-Variance</w:t>
            </w:r>
          </w:p>
        </w:tc>
        <w:tc>
          <w:tcPr>
            <w:tcW w:type="dxa" w:w="1817"/>
          </w:tcPr>
          <w:p>
            <w:r>
              <w:t>0.49</w:t>
            </w:r>
          </w:p>
        </w:tc>
        <w:tc>
          <w:tcPr>
            <w:tcW w:type="dxa" w:w="1817"/>
          </w:tcPr>
          <w:p>
            <w:r>
              <w:t>-7.0%</w:t>
            </w:r>
          </w:p>
        </w:tc>
        <w:tc>
          <w:tcPr>
            <w:tcW w:type="dxa" w:w="1817"/>
          </w:tcPr>
          <w:p>
            <w:r>
              <w:t>-0.33</w:t>
            </w:r>
          </w:p>
        </w:tc>
        <w:tc>
          <w:tcPr>
            <w:tcW w:type="dxa" w:w="1817"/>
          </w:tcPr>
          <w:p>
            <w:r>
              <w:t>False</w:t>
            </w:r>
          </w:p>
        </w:tc>
      </w:tr>
      <w:tr>
        <w:tc>
          <w:tcPr>
            <w:tcW w:type="dxa" w:w="1817"/>
          </w:tcPr>
          <w:p>
            <w:r>
              <w:t>Equity Max-Sharpe</w:t>
            </w:r>
          </w:p>
        </w:tc>
        <w:tc>
          <w:tcPr>
            <w:tcW w:type="dxa" w:w="1817"/>
          </w:tcPr>
          <w:p>
            <w:r>
              <w:t>0.59</w:t>
            </w:r>
          </w:p>
        </w:tc>
        <w:tc>
          <w:tcPr>
            <w:tcW w:type="dxa" w:w="1817"/>
          </w:tcPr>
          <w:p>
            <w:r>
              <w:t>-2.5%</w:t>
            </w:r>
          </w:p>
        </w:tc>
        <w:tc>
          <w:tcPr>
            <w:tcW w:type="dxa" w:w="1817"/>
          </w:tcPr>
          <w:p>
            <w:r>
              <w:t>-0.23</w:t>
            </w:r>
          </w:p>
        </w:tc>
        <w:tc>
          <w:tcPr>
            <w:tcW w:type="dxa" w:w="1817"/>
          </w:tcPr>
          <w:p>
            <w:r>
              <w:t>False</w:t>
            </w:r>
          </w:p>
        </w:tc>
      </w:tr>
      <w:tr>
        <w:tc>
          <w:tcPr>
            <w:tcW w:type="dxa" w:w="1817"/>
          </w:tcPr>
          <w:p>
            <w:r>
              <w:t>Equity Risk Parity</w:t>
            </w:r>
          </w:p>
        </w:tc>
        <w:tc>
          <w:tcPr>
            <w:tcW w:type="dxa" w:w="1817"/>
          </w:tcPr>
          <w:p>
            <w:r>
              <w:t>0.72</w:t>
            </w:r>
          </w:p>
        </w:tc>
        <w:tc>
          <w:tcPr>
            <w:tcW w:type="dxa" w:w="1817"/>
          </w:tcPr>
          <w:p>
            <w:r>
              <w:t>-2.7%</w:t>
            </w:r>
          </w:p>
        </w:tc>
        <w:tc>
          <w:tcPr>
            <w:tcW w:type="dxa" w:w="1817"/>
          </w:tcPr>
          <w:p>
            <w:r>
              <w:t>-0.09</w:t>
            </w:r>
          </w:p>
        </w:tc>
        <w:tc>
          <w:tcPr>
            <w:tcW w:type="dxa" w:w="1817"/>
          </w:tcPr>
          <w:p>
            <w:r>
              <w:t>False</w:t>
            </w:r>
          </w:p>
        </w:tc>
      </w:tr>
      <w:tr>
        <w:tc>
          <w:tcPr>
            <w:tcW w:type="dxa" w:w="1817"/>
          </w:tcPr>
          <w:p>
            <w:r>
              <w:t>Crypto Min-Variance</w:t>
            </w:r>
          </w:p>
        </w:tc>
        <w:tc>
          <w:tcPr>
            <w:tcW w:type="dxa" w:w="1817"/>
          </w:tcPr>
          <w:p>
            <w:r>
              <w:t>0.51</w:t>
            </w:r>
          </w:p>
        </w:tc>
        <w:tc>
          <w:tcPr>
            <w:tcW w:type="dxa" w:w="1817"/>
          </w:tcPr>
          <w:p>
            <w:r>
              <w:t>17.3%</w:t>
            </w:r>
          </w:p>
        </w:tc>
        <w:tc>
          <w:tcPr>
            <w:tcW w:type="dxa" w:w="1817"/>
          </w:tcPr>
          <w:p>
            <w:r>
              <w:t>-0.30</w:t>
            </w:r>
          </w:p>
        </w:tc>
        <w:tc>
          <w:tcPr>
            <w:tcW w:type="dxa" w:w="1817"/>
          </w:tcPr>
          <w:p>
            <w:r>
              <w:t>False</w:t>
            </w:r>
          </w:p>
        </w:tc>
      </w:tr>
      <w:tr>
        <w:tc>
          <w:tcPr>
            <w:tcW w:type="dxa" w:w="1817"/>
          </w:tcPr>
          <w:p>
            <w:r>
              <w:t>Crypto Max-Sharpe</w:t>
            </w:r>
          </w:p>
        </w:tc>
        <w:tc>
          <w:tcPr>
            <w:tcW w:type="dxa" w:w="1817"/>
          </w:tcPr>
          <w:p>
            <w:r>
              <w:t>-0.20</w:t>
            </w:r>
          </w:p>
        </w:tc>
        <w:tc>
          <w:tcPr>
            <w:tcW w:type="dxa" w:w="1817"/>
          </w:tcPr>
          <w:p>
            <w:r>
              <w:t>-28.5%</w:t>
            </w:r>
          </w:p>
        </w:tc>
        <w:tc>
          <w:tcPr>
            <w:tcW w:type="dxa" w:w="1817"/>
          </w:tcPr>
          <w:p>
            <w:r>
              <w:t>-1.02</w:t>
            </w:r>
          </w:p>
        </w:tc>
        <w:tc>
          <w:tcPr>
            <w:tcW w:type="dxa" w:w="1817"/>
          </w:tcPr>
          <w:p>
            <w:r>
              <w:t>False</w:t>
            </w:r>
          </w:p>
        </w:tc>
      </w:tr>
      <w:tr>
        <w:tc>
          <w:tcPr>
            <w:tcW w:type="dxa" w:w="1817"/>
          </w:tcPr>
          <w:p>
            <w:r>
              <w:t>Crypto Risk Parity</w:t>
            </w:r>
          </w:p>
        </w:tc>
        <w:tc>
          <w:tcPr>
            <w:tcW w:type="dxa" w:w="1817"/>
          </w:tcPr>
          <w:p>
            <w:r>
              <w:t>0.46</w:t>
            </w:r>
          </w:p>
        </w:tc>
        <w:tc>
          <w:tcPr>
            <w:tcW w:type="dxa" w:w="1817"/>
          </w:tcPr>
          <w:p>
            <w:r>
              <w:t>20.2%</w:t>
            </w:r>
          </w:p>
        </w:tc>
        <w:tc>
          <w:tcPr>
            <w:tcW w:type="dxa" w:w="1817"/>
          </w:tcPr>
          <w:p>
            <w:r>
              <w:t>-0.36</w:t>
            </w:r>
          </w:p>
        </w:tc>
        <w:tc>
          <w:tcPr>
            <w:tcW w:type="dxa" w:w="1817"/>
          </w:tcPr>
          <w:p>
            <w:r>
              <w:t>False</w:t>
            </w:r>
          </w:p>
        </w:tc>
      </w:tr>
      <w:tr>
        <w:tc>
          <w:tcPr>
            <w:tcW w:type="dxa" w:w="1817"/>
          </w:tcPr>
          <w:p>
            <w:r>
              <w:t>Min-Variance</w:t>
            </w:r>
          </w:p>
        </w:tc>
        <w:tc>
          <w:tcPr>
            <w:tcW w:type="dxa" w:w="1817"/>
          </w:tcPr>
          <w:p>
            <w:r>
              <w:t>0.49</w:t>
            </w:r>
          </w:p>
        </w:tc>
        <w:tc>
          <w:tcPr>
            <w:tcW w:type="dxa" w:w="1817"/>
          </w:tcPr>
          <w:p>
            <w:r>
              <w:t>-6.9%</w:t>
            </w:r>
          </w:p>
        </w:tc>
        <w:tc>
          <w:tcPr>
            <w:tcW w:type="dxa" w:w="1817"/>
          </w:tcPr>
          <w:p>
            <w:r>
              <w:t>-0.33</w:t>
            </w:r>
          </w:p>
        </w:tc>
        <w:tc>
          <w:tcPr>
            <w:tcW w:type="dxa" w:w="1817"/>
          </w:tcPr>
          <w:p>
            <w:r>
              <w:t>False</w:t>
            </w:r>
          </w:p>
        </w:tc>
      </w:tr>
      <w:tr>
        <w:tc>
          <w:tcPr>
            <w:tcW w:type="dxa" w:w="1817"/>
          </w:tcPr>
          <w:p>
            <w:r>
              <w:t>Max-Sharpe</w:t>
            </w:r>
          </w:p>
        </w:tc>
        <w:tc>
          <w:tcPr>
            <w:tcW w:type="dxa" w:w="1817"/>
          </w:tcPr>
          <w:p>
            <w:r>
              <w:t>1.03</w:t>
            </w:r>
          </w:p>
        </w:tc>
        <w:tc>
          <w:tcPr>
            <w:tcW w:type="dxa" w:w="1817"/>
          </w:tcPr>
          <w:p>
            <w:r>
              <w:t>12.3%</w:t>
            </w:r>
          </w:p>
        </w:tc>
        <w:tc>
          <w:tcPr>
            <w:tcW w:type="dxa" w:w="1817"/>
          </w:tcPr>
          <w:p>
            <w:r>
              <w:t>0.22</w:t>
            </w:r>
          </w:p>
        </w:tc>
        <w:tc>
          <w:tcPr>
            <w:tcW w:type="dxa" w:w="1817"/>
          </w:tcPr>
          <w:p>
            <w:r>
              <w:t>True</w:t>
            </w:r>
          </w:p>
        </w:tc>
      </w:tr>
      <w:tr>
        <w:tc>
          <w:tcPr>
            <w:tcW w:type="dxa" w:w="1817"/>
          </w:tcPr>
          <w:p>
            <w:r>
              <w:t>Risk Parity</w:t>
            </w:r>
          </w:p>
        </w:tc>
        <w:tc>
          <w:tcPr>
            <w:tcW w:type="dxa" w:w="1817"/>
          </w:tcPr>
          <w:p>
            <w:r>
              <w:t>0.90</w:t>
            </w:r>
          </w:p>
        </w:tc>
        <w:tc>
          <w:tcPr>
            <w:tcW w:type="dxa" w:w="1817"/>
          </w:tcPr>
          <w:p>
            <w:r>
              <w:t>1.1%</w:t>
            </w:r>
          </w:p>
        </w:tc>
        <w:tc>
          <w:tcPr>
            <w:tcW w:type="dxa" w:w="1817"/>
          </w:tcPr>
          <w:p>
            <w:r>
              <w:t>0.08</w:t>
            </w:r>
          </w:p>
        </w:tc>
        <w:tc>
          <w:tcPr>
            <w:tcW w:type="dxa" w:w="1817"/>
          </w:tcPr>
          <w:p>
            <w:r>
              <w:t>True</w:t>
            </w:r>
          </w:p>
        </w:tc>
      </w:tr>
      <w:tr>
        <w:tc>
          <w:tcPr>
            <w:tcW w:type="dxa" w:w="1817"/>
          </w:tcPr>
          <w:p>
            <w:r>
              <w:t>Two-Stage Min-Variance</w:t>
            </w:r>
          </w:p>
        </w:tc>
        <w:tc>
          <w:tcPr>
            <w:tcW w:type="dxa" w:w="1817"/>
          </w:tcPr>
          <w:p>
            <w:r>
              <w:t>0.50</w:t>
            </w:r>
          </w:p>
        </w:tc>
        <w:tc>
          <w:tcPr>
            <w:tcW w:type="dxa" w:w="1817"/>
          </w:tcPr>
          <w:p>
            <w:r>
              <w:t>-6.9%</w:t>
            </w:r>
          </w:p>
        </w:tc>
        <w:tc>
          <w:tcPr>
            <w:tcW w:type="dxa" w:w="1817"/>
          </w:tcPr>
          <w:p>
            <w:r>
              <w:t>-0.32</w:t>
            </w:r>
          </w:p>
        </w:tc>
        <w:tc>
          <w:tcPr>
            <w:tcW w:type="dxa" w:w="1817"/>
          </w:tcPr>
          <w:p>
            <w:r>
              <w:t>False</w:t>
            </w:r>
          </w:p>
        </w:tc>
      </w:tr>
      <w:tr>
        <w:tc>
          <w:tcPr>
            <w:tcW w:type="dxa" w:w="1817"/>
          </w:tcPr>
          <w:p>
            <w:r>
              <w:t>Two-Stage Max-Sharpe</w:t>
            </w:r>
          </w:p>
        </w:tc>
        <w:tc>
          <w:tcPr>
            <w:tcW w:type="dxa" w:w="1817"/>
          </w:tcPr>
          <w:p>
            <w:r>
              <w:t>0.98</w:t>
            </w:r>
          </w:p>
        </w:tc>
        <w:tc>
          <w:tcPr>
            <w:tcW w:type="dxa" w:w="1817"/>
          </w:tcPr>
          <w:p>
            <w:r>
              <w:t>11.0%</w:t>
            </w:r>
          </w:p>
        </w:tc>
        <w:tc>
          <w:tcPr>
            <w:tcW w:type="dxa" w:w="1817"/>
          </w:tcPr>
          <w:p>
            <w:r>
              <w:t>0.17</w:t>
            </w:r>
          </w:p>
        </w:tc>
        <w:tc>
          <w:tcPr>
            <w:tcW w:type="dxa" w:w="1817"/>
          </w:tcPr>
          <w:p>
            <w:r>
              <w:t>True</w:t>
            </w:r>
          </w:p>
        </w:tc>
      </w:tr>
    </w:tbl>
    <w:p>
      <w:r>
        <w:rPr>
          <w:i/>
        </w:rPr>
        <w:t>Table A3. Sentiment fusion before vs after, by fund (annualised).</w:t>
      </w:r>
    </w:p>
    <w:tbl>
      <w:tblPr>
        <w:tblStyle w:val="LightGrid-Accent1"/>
        <w:tblW w:type="auto" w:w="0"/>
        <w:tblLook w:firstColumn="1" w:firstRow="1" w:lastColumn="0" w:lastRow="0" w:noHBand="0" w:noVBand="1" w:val="04A0"/>
      </w:tblPr>
      <w:tblGrid>
        <w:gridCol w:w="1817"/>
        <w:gridCol w:w="1817"/>
        <w:gridCol w:w="1817"/>
        <w:gridCol w:w="1817"/>
        <w:gridCol w:w="1817"/>
      </w:tblGrid>
      <w:tr>
        <w:tc>
          <w:tcPr>
            <w:tcW w:type="dxa" w:w="1817"/>
          </w:tcPr>
          <w:p>
            <w:r>
              <w:rPr>
                <w:b/>
              </w:rPr>
              <w:t>fund</w:t>
            </w:r>
          </w:p>
        </w:tc>
        <w:tc>
          <w:tcPr>
            <w:tcW w:type="dxa" w:w="1817"/>
          </w:tcPr>
          <w:p>
            <w:r>
              <w:rPr>
                <w:b/>
              </w:rPr>
              <w:t>variant</w:t>
            </w:r>
          </w:p>
        </w:tc>
        <w:tc>
          <w:tcPr>
            <w:tcW w:type="dxa" w:w="1817"/>
          </w:tcPr>
          <w:p>
            <w:r>
              <w:rPr>
                <w:b/>
              </w:rPr>
              <w:t>ann_return</w:t>
            </w:r>
          </w:p>
        </w:tc>
        <w:tc>
          <w:tcPr>
            <w:tcW w:type="dxa" w:w="1817"/>
          </w:tcPr>
          <w:p>
            <w:r>
              <w:rPr>
                <w:b/>
              </w:rPr>
              <w:t>sharpe</w:t>
            </w:r>
          </w:p>
        </w:tc>
        <w:tc>
          <w:tcPr>
            <w:tcW w:type="dxa" w:w="1817"/>
          </w:tcPr>
          <w:p>
            <w:r>
              <w:rPr>
                <w:b/>
              </w:rPr>
              <w:t>max_drawdown</w:t>
            </w:r>
          </w:p>
        </w:tc>
      </w:tr>
      <w:tr>
        <w:tc>
          <w:tcPr>
            <w:tcW w:type="dxa" w:w="1817"/>
          </w:tcPr>
          <w:p>
            <w:r>
              <w:t>Min-Variance</w:t>
            </w:r>
          </w:p>
        </w:tc>
        <w:tc>
          <w:tcPr>
            <w:tcW w:type="dxa" w:w="1817"/>
          </w:tcPr>
          <w:p>
            <w:r>
              <w:t>base</w:t>
            </w:r>
          </w:p>
        </w:tc>
        <w:tc>
          <w:tcPr>
            <w:tcW w:type="dxa" w:w="1817"/>
          </w:tcPr>
          <w:p>
            <w:r>
              <w:t>6.3%</w:t>
            </w:r>
          </w:p>
        </w:tc>
        <w:tc>
          <w:tcPr>
            <w:tcW w:type="dxa" w:w="1817"/>
          </w:tcPr>
          <w:p>
            <w:r>
              <w:t>0.49</w:t>
            </w:r>
          </w:p>
        </w:tc>
        <w:tc>
          <w:tcPr>
            <w:tcW w:type="dxa" w:w="1817"/>
          </w:tcPr>
          <w:p>
            <w:r>
              <w:t>-15.6%</w:t>
            </w:r>
          </w:p>
        </w:tc>
      </w:tr>
      <w:tr>
        <w:tc>
          <w:tcPr>
            <w:tcW w:type="dxa" w:w="1817"/>
          </w:tcPr>
          <w:p>
            <w:r>
              <w:t>Min-Variance</w:t>
            </w:r>
          </w:p>
        </w:tc>
        <w:tc>
          <w:tcPr>
            <w:tcW w:type="dxa" w:w="1817"/>
          </w:tcPr>
          <w:p>
            <w:r>
              <w:t>sentiment</w:t>
            </w:r>
          </w:p>
        </w:tc>
        <w:tc>
          <w:tcPr>
            <w:tcW w:type="dxa" w:w="1817"/>
          </w:tcPr>
          <w:p>
            <w:r>
              <w:t>4.0%</w:t>
            </w:r>
          </w:p>
        </w:tc>
        <w:tc>
          <w:tcPr>
            <w:tcW w:type="dxa" w:w="1817"/>
          </w:tcPr>
          <w:p>
            <w:r>
              <w:t>0.31</w:t>
            </w:r>
          </w:p>
        </w:tc>
        <w:tc>
          <w:tcPr>
            <w:tcW w:type="dxa" w:w="1817"/>
          </w:tcPr>
          <w:p>
            <w:r>
              <w:t>-17.0%</w:t>
            </w:r>
          </w:p>
        </w:tc>
      </w:tr>
      <w:tr>
        <w:tc>
          <w:tcPr>
            <w:tcW w:type="dxa" w:w="1817"/>
          </w:tcPr>
          <w:p>
            <w:r>
              <w:t>Max-Sharpe</w:t>
            </w:r>
          </w:p>
        </w:tc>
        <w:tc>
          <w:tcPr>
            <w:tcW w:type="dxa" w:w="1817"/>
          </w:tcPr>
          <w:p>
            <w:r>
              <w:t>base</w:t>
            </w:r>
          </w:p>
        </w:tc>
        <w:tc>
          <w:tcPr>
            <w:tcW w:type="dxa" w:w="1817"/>
          </w:tcPr>
          <w:p>
            <w:r>
              <w:t>25.5%</w:t>
            </w:r>
          </w:p>
        </w:tc>
        <w:tc>
          <w:tcPr>
            <w:tcW w:type="dxa" w:w="1817"/>
          </w:tcPr>
          <w:p>
            <w:r>
              <w:t>1.03</w:t>
            </w:r>
          </w:p>
        </w:tc>
        <w:tc>
          <w:tcPr>
            <w:tcW w:type="dxa" w:w="1817"/>
          </w:tcPr>
          <w:p>
            <w:r>
              <w:t>-26.3%</w:t>
            </w:r>
          </w:p>
        </w:tc>
      </w:tr>
      <w:tr>
        <w:tc>
          <w:tcPr>
            <w:tcW w:type="dxa" w:w="1817"/>
          </w:tcPr>
          <w:p>
            <w:r>
              <w:t>Max-Sharpe</w:t>
            </w:r>
          </w:p>
        </w:tc>
        <w:tc>
          <w:tcPr>
            <w:tcW w:type="dxa" w:w="1817"/>
          </w:tcPr>
          <w:p>
            <w:r>
              <w:t>sentiment</w:t>
            </w:r>
          </w:p>
        </w:tc>
        <w:tc>
          <w:tcPr>
            <w:tcW w:type="dxa" w:w="1817"/>
          </w:tcPr>
          <w:p>
            <w:r>
              <w:t>23.6%</w:t>
            </w:r>
          </w:p>
        </w:tc>
        <w:tc>
          <w:tcPr>
            <w:tcW w:type="dxa" w:w="1817"/>
          </w:tcPr>
          <w:p>
            <w:r>
              <w:t>0.91</w:t>
            </w:r>
          </w:p>
        </w:tc>
        <w:tc>
          <w:tcPr>
            <w:tcW w:type="dxa" w:w="1817"/>
          </w:tcPr>
          <w:p>
            <w:r>
              <w:t>-22.8%</w:t>
            </w:r>
          </w:p>
        </w:tc>
      </w:tr>
    </w:tbl>
    <w:p>
      <w:r>
        <w:rPr>
          <w:i/>
        </w:rPr>
        <w:t>Table A4. Covariance shrinkage before vs after (annualised).</w:t>
      </w:r>
    </w:p>
    <w:tbl>
      <w:tblPr>
        <w:tblStyle w:val="LightGrid-Accent1"/>
        <w:tblW w:type="auto" w:w="0"/>
        <w:tblLook w:firstColumn="1" w:firstRow="1" w:lastColumn="0" w:lastRow="0" w:noHBand="0" w:noVBand="1" w:val="04A0"/>
      </w:tblPr>
      <w:tblGrid>
        <w:gridCol w:w="1817"/>
        <w:gridCol w:w="1817"/>
        <w:gridCol w:w="1817"/>
        <w:gridCol w:w="1817"/>
        <w:gridCol w:w="1817"/>
      </w:tblGrid>
      <w:tr>
        <w:tc>
          <w:tcPr>
            <w:tcW w:type="dxa" w:w="1817"/>
          </w:tcPr>
          <w:p>
            <w:r>
              <w:rPr>
                <w:b/>
              </w:rPr>
              <w:t>fund</w:t>
            </w:r>
          </w:p>
        </w:tc>
        <w:tc>
          <w:tcPr>
            <w:tcW w:type="dxa" w:w="1817"/>
          </w:tcPr>
          <w:p>
            <w:r>
              <w:rPr>
                <w:b/>
              </w:rPr>
              <w:t>variant</w:t>
            </w:r>
          </w:p>
        </w:tc>
        <w:tc>
          <w:tcPr>
            <w:tcW w:type="dxa" w:w="1817"/>
          </w:tcPr>
          <w:p>
            <w:r>
              <w:rPr>
                <w:b/>
              </w:rPr>
              <w:t>ann_return</w:t>
            </w:r>
          </w:p>
        </w:tc>
        <w:tc>
          <w:tcPr>
            <w:tcW w:type="dxa" w:w="1817"/>
          </w:tcPr>
          <w:p>
            <w:r>
              <w:rPr>
                <w:b/>
              </w:rPr>
              <w:t>sharpe</w:t>
            </w:r>
          </w:p>
        </w:tc>
        <w:tc>
          <w:tcPr>
            <w:tcW w:type="dxa" w:w="1817"/>
          </w:tcPr>
          <w:p>
            <w:r>
              <w:rPr>
                <w:b/>
              </w:rPr>
              <w:t>max_drawdown</w:t>
            </w:r>
          </w:p>
        </w:tc>
      </w:tr>
      <w:tr>
        <w:tc>
          <w:tcPr>
            <w:tcW w:type="dxa" w:w="1817"/>
          </w:tcPr>
          <w:p>
            <w:r>
              <w:t>Min-Variance</w:t>
            </w:r>
          </w:p>
        </w:tc>
        <w:tc>
          <w:tcPr>
            <w:tcW w:type="dxa" w:w="1817"/>
          </w:tcPr>
          <w:p>
            <w:r>
              <w:t>sample</w:t>
            </w:r>
          </w:p>
        </w:tc>
        <w:tc>
          <w:tcPr>
            <w:tcW w:type="dxa" w:w="1817"/>
          </w:tcPr>
          <w:p>
            <w:r>
              <w:t>6.3%</w:t>
            </w:r>
          </w:p>
        </w:tc>
        <w:tc>
          <w:tcPr>
            <w:tcW w:type="dxa" w:w="1817"/>
          </w:tcPr>
          <w:p>
            <w:r>
              <w:t>0.49</w:t>
            </w:r>
          </w:p>
        </w:tc>
        <w:tc>
          <w:tcPr>
            <w:tcW w:type="dxa" w:w="1817"/>
          </w:tcPr>
          <w:p>
            <w:r>
              <w:t>-15.6%</w:t>
            </w:r>
          </w:p>
        </w:tc>
      </w:tr>
      <w:tr>
        <w:tc>
          <w:tcPr>
            <w:tcW w:type="dxa" w:w="1817"/>
          </w:tcPr>
          <w:p>
            <w:r>
              <w:t>Min-Variance_Shrunk</w:t>
            </w:r>
          </w:p>
        </w:tc>
        <w:tc>
          <w:tcPr>
            <w:tcW w:type="dxa" w:w="1817"/>
          </w:tcPr>
          <w:p>
            <w:r>
              <w:t>shrunk</w:t>
            </w:r>
          </w:p>
        </w:tc>
        <w:tc>
          <w:tcPr>
            <w:tcW w:type="dxa" w:w="1817"/>
          </w:tcPr>
          <w:p>
            <w:r>
              <w:t>7.0%</w:t>
            </w:r>
          </w:p>
        </w:tc>
        <w:tc>
          <w:tcPr>
            <w:tcW w:type="dxa" w:w="1817"/>
          </w:tcPr>
          <w:p>
            <w:r>
              <w:t>0.55</w:t>
            </w:r>
          </w:p>
        </w:tc>
        <w:tc>
          <w:tcPr>
            <w:tcW w:type="dxa" w:w="1817"/>
          </w:tcPr>
          <w:p>
            <w:r>
              <w:t>-15.6%</w:t>
            </w:r>
          </w:p>
        </w:tc>
      </w:tr>
      <w:tr>
        <w:tc>
          <w:tcPr>
            <w:tcW w:type="dxa" w:w="1817"/>
          </w:tcPr>
          <w:p>
            <w:r>
              <w:t>Max-Sharpe</w:t>
            </w:r>
          </w:p>
        </w:tc>
        <w:tc>
          <w:tcPr>
            <w:tcW w:type="dxa" w:w="1817"/>
          </w:tcPr>
          <w:p>
            <w:r>
              <w:t>sample</w:t>
            </w:r>
          </w:p>
        </w:tc>
        <w:tc>
          <w:tcPr>
            <w:tcW w:type="dxa" w:w="1817"/>
          </w:tcPr>
          <w:p>
            <w:r>
              <w:t>25.5%</w:t>
            </w:r>
          </w:p>
        </w:tc>
        <w:tc>
          <w:tcPr>
            <w:tcW w:type="dxa" w:w="1817"/>
          </w:tcPr>
          <w:p>
            <w:r>
              <w:t>1.03</w:t>
            </w:r>
          </w:p>
        </w:tc>
        <w:tc>
          <w:tcPr>
            <w:tcW w:type="dxa" w:w="1817"/>
          </w:tcPr>
          <w:p>
            <w:r>
              <w:t>-26.3%</w:t>
            </w:r>
          </w:p>
        </w:tc>
      </w:tr>
      <w:tr>
        <w:tc>
          <w:tcPr>
            <w:tcW w:type="dxa" w:w="1817"/>
          </w:tcPr>
          <w:p>
            <w:r>
              <w:t>Max-Sharpe_Shrunk</w:t>
            </w:r>
          </w:p>
        </w:tc>
        <w:tc>
          <w:tcPr>
            <w:tcW w:type="dxa" w:w="1817"/>
          </w:tcPr>
          <w:p>
            <w:r>
              <w:t>shrunk</w:t>
            </w:r>
          </w:p>
        </w:tc>
        <w:tc>
          <w:tcPr>
            <w:tcW w:type="dxa" w:w="1817"/>
          </w:tcPr>
          <w:p>
            <w:r>
              <w:t>25.1%</w:t>
            </w:r>
          </w:p>
        </w:tc>
        <w:tc>
          <w:tcPr>
            <w:tcW w:type="dxa" w:w="1817"/>
          </w:tcPr>
          <w:p>
            <w:r>
              <w:t>1.01</w:t>
            </w:r>
          </w:p>
        </w:tc>
        <w:tc>
          <w:tcPr>
            <w:tcW w:type="dxa" w:w="1817"/>
          </w:tcPr>
          <w:p>
            <w:r>
              <w:t>-25.2%</w:t>
            </w:r>
          </w:p>
        </w:tc>
      </w:tr>
    </w:tbl>
    <w:p>
      <w:r>
        <w:rPr>
          <w:i/>
        </w:rPr>
        <w:t>Table A5. One-stage vs two-stage, by method (annualised).</w:t>
      </w:r>
    </w:p>
    <w:tbl>
      <w:tblPr>
        <w:tblStyle w:val="LightGrid-Accent1"/>
        <w:tblW w:type="auto" w:w="0"/>
        <w:tblLook w:firstColumn="1" w:firstRow="1" w:lastColumn="0" w:lastRow="0" w:noHBand="0" w:noVBand="1" w:val="04A0"/>
      </w:tblPr>
      <w:tblGrid>
        <w:gridCol w:w="1817"/>
        <w:gridCol w:w="1817"/>
        <w:gridCol w:w="1817"/>
        <w:gridCol w:w="1817"/>
        <w:gridCol w:w="1817"/>
      </w:tblGrid>
      <w:tr>
        <w:tc>
          <w:tcPr>
            <w:tcW w:type="dxa" w:w="1817"/>
          </w:tcPr>
          <w:p>
            <w:r>
              <w:rPr>
                <w:b/>
              </w:rPr>
              <w:t>fund</w:t>
            </w:r>
          </w:p>
        </w:tc>
        <w:tc>
          <w:tcPr>
            <w:tcW w:type="dxa" w:w="1817"/>
          </w:tcPr>
          <w:p>
            <w:r>
              <w:rPr>
                <w:b/>
              </w:rPr>
              <w:t>structure</w:t>
            </w:r>
          </w:p>
        </w:tc>
        <w:tc>
          <w:tcPr>
            <w:tcW w:type="dxa" w:w="1817"/>
          </w:tcPr>
          <w:p>
            <w:r>
              <w:rPr>
                <w:b/>
              </w:rPr>
              <w:t>ann_return</w:t>
            </w:r>
          </w:p>
        </w:tc>
        <w:tc>
          <w:tcPr>
            <w:tcW w:type="dxa" w:w="1817"/>
          </w:tcPr>
          <w:p>
            <w:r>
              <w:rPr>
                <w:b/>
              </w:rPr>
              <w:t>sharpe</w:t>
            </w:r>
          </w:p>
        </w:tc>
        <w:tc>
          <w:tcPr>
            <w:tcW w:type="dxa" w:w="1817"/>
          </w:tcPr>
          <w:p>
            <w:r>
              <w:rPr>
                <w:b/>
              </w:rPr>
              <w:t>max_drawdown</w:t>
            </w:r>
          </w:p>
        </w:tc>
      </w:tr>
      <w:tr>
        <w:tc>
          <w:tcPr>
            <w:tcW w:type="dxa" w:w="1817"/>
          </w:tcPr>
          <w:p>
            <w:r>
              <w:t>Min-Variance</w:t>
            </w:r>
          </w:p>
        </w:tc>
        <w:tc>
          <w:tcPr>
            <w:tcW w:type="dxa" w:w="1817"/>
          </w:tcPr>
          <w:p>
            <w:r>
              <w:t>one_stage</w:t>
            </w:r>
          </w:p>
        </w:tc>
        <w:tc>
          <w:tcPr>
            <w:tcW w:type="dxa" w:w="1817"/>
          </w:tcPr>
          <w:p>
            <w:r>
              <w:t>6.3%</w:t>
            </w:r>
          </w:p>
        </w:tc>
        <w:tc>
          <w:tcPr>
            <w:tcW w:type="dxa" w:w="1817"/>
          </w:tcPr>
          <w:p>
            <w:r>
              <w:t>0.49</w:t>
            </w:r>
          </w:p>
        </w:tc>
        <w:tc>
          <w:tcPr>
            <w:tcW w:type="dxa" w:w="1817"/>
          </w:tcPr>
          <w:p>
            <w:r>
              <w:t>-15.6%</w:t>
            </w:r>
          </w:p>
        </w:tc>
      </w:tr>
      <w:tr>
        <w:tc>
          <w:tcPr>
            <w:tcW w:type="dxa" w:w="1817"/>
          </w:tcPr>
          <w:p>
            <w:r>
              <w:t>Two-Stage Min-Variance</w:t>
            </w:r>
          </w:p>
        </w:tc>
        <w:tc>
          <w:tcPr>
            <w:tcW w:type="dxa" w:w="1817"/>
          </w:tcPr>
          <w:p>
            <w:r>
              <w:t>two_stage</w:t>
            </w:r>
          </w:p>
        </w:tc>
        <w:tc>
          <w:tcPr>
            <w:tcW w:type="dxa" w:w="1817"/>
          </w:tcPr>
          <w:p>
            <w:r>
              <w:t>6.4%</w:t>
            </w:r>
          </w:p>
        </w:tc>
        <w:tc>
          <w:tcPr>
            <w:tcW w:type="dxa" w:w="1817"/>
          </w:tcPr>
          <w:p>
            <w:r>
              <w:t>0.50</w:t>
            </w:r>
          </w:p>
        </w:tc>
        <w:tc>
          <w:tcPr>
            <w:tcW w:type="dxa" w:w="1817"/>
          </w:tcPr>
          <w:p>
            <w:r>
              <w:t>-15.6%</w:t>
            </w:r>
          </w:p>
        </w:tc>
      </w:tr>
      <w:tr>
        <w:tc>
          <w:tcPr>
            <w:tcW w:type="dxa" w:w="1817"/>
          </w:tcPr>
          <w:p>
            <w:r>
              <w:t>Max-Sharpe</w:t>
            </w:r>
          </w:p>
        </w:tc>
        <w:tc>
          <w:tcPr>
            <w:tcW w:type="dxa" w:w="1817"/>
          </w:tcPr>
          <w:p>
            <w:r>
              <w:t>one_stage</w:t>
            </w:r>
          </w:p>
        </w:tc>
        <w:tc>
          <w:tcPr>
            <w:tcW w:type="dxa" w:w="1817"/>
          </w:tcPr>
          <w:p>
            <w:r>
              <w:t>25.5%</w:t>
            </w:r>
          </w:p>
        </w:tc>
        <w:tc>
          <w:tcPr>
            <w:tcW w:type="dxa" w:w="1817"/>
          </w:tcPr>
          <w:p>
            <w:r>
              <w:t>1.03</w:t>
            </w:r>
          </w:p>
        </w:tc>
        <w:tc>
          <w:tcPr>
            <w:tcW w:type="dxa" w:w="1817"/>
          </w:tcPr>
          <w:p>
            <w:r>
              <w:t>-26.3%</w:t>
            </w:r>
          </w:p>
        </w:tc>
      </w:tr>
      <w:tr>
        <w:tc>
          <w:tcPr>
            <w:tcW w:type="dxa" w:w="1817"/>
          </w:tcPr>
          <w:p>
            <w:r>
              <w:t>Two-Stage Max-Sharpe</w:t>
            </w:r>
          </w:p>
        </w:tc>
        <w:tc>
          <w:tcPr>
            <w:tcW w:type="dxa" w:w="1817"/>
          </w:tcPr>
          <w:p>
            <w:r>
              <w:t>two_stage</w:t>
            </w:r>
          </w:p>
        </w:tc>
        <w:tc>
          <w:tcPr>
            <w:tcW w:type="dxa" w:w="1817"/>
          </w:tcPr>
          <w:p>
            <w:r>
              <w:t>24.2%</w:t>
            </w:r>
          </w:p>
        </w:tc>
        <w:tc>
          <w:tcPr>
            <w:tcW w:type="dxa" w:w="1817"/>
          </w:tcPr>
          <w:p>
            <w:r>
              <w:t>0.98</w:t>
            </w:r>
          </w:p>
        </w:tc>
        <w:tc>
          <w:tcPr>
            <w:tcW w:type="dxa" w:w="1817"/>
          </w:tcPr>
          <w:p>
            <w:r>
              <w:t>-26.3%</w:t>
            </w:r>
          </w:p>
        </w:tc>
      </w:tr>
    </w:tbl>
    <w:p>
      <w:r>
        <w:rPr>
          <w:i/>
        </w:rPr>
        <w:t>Table A6. Sentiment decay: base vs neutral-0 vs decayed tilt (annualised).</w:t>
      </w:r>
    </w:p>
    <w:tbl>
      <w:tblPr>
        <w:tblStyle w:val="LightGrid-Accent1"/>
        <w:tblW w:type="auto" w:w="0"/>
        <w:tblLook w:firstColumn="1" w:firstRow="1" w:lastColumn="0" w:lastRow="0" w:noHBand="0" w:noVBand="1" w:val="04A0"/>
      </w:tblPr>
      <w:tblGrid>
        <w:gridCol w:w="1817"/>
        <w:gridCol w:w="1817"/>
        <w:gridCol w:w="1817"/>
        <w:gridCol w:w="1817"/>
        <w:gridCol w:w="1817"/>
      </w:tblGrid>
      <w:tr>
        <w:tc>
          <w:tcPr>
            <w:tcW w:type="dxa" w:w="1817"/>
          </w:tcPr>
          <w:p>
            <w:r>
              <w:rPr>
                <w:b/>
              </w:rPr>
              <w:t>fund</w:t>
            </w:r>
          </w:p>
        </w:tc>
        <w:tc>
          <w:tcPr>
            <w:tcW w:type="dxa" w:w="1817"/>
          </w:tcPr>
          <w:p>
            <w:r>
              <w:rPr>
                <w:b/>
              </w:rPr>
              <w:t>variant</w:t>
            </w:r>
          </w:p>
        </w:tc>
        <w:tc>
          <w:tcPr>
            <w:tcW w:type="dxa" w:w="1817"/>
          </w:tcPr>
          <w:p>
            <w:r>
              <w:rPr>
                <w:b/>
              </w:rPr>
              <w:t>ann_return</w:t>
            </w:r>
          </w:p>
        </w:tc>
        <w:tc>
          <w:tcPr>
            <w:tcW w:type="dxa" w:w="1817"/>
          </w:tcPr>
          <w:p>
            <w:r>
              <w:rPr>
                <w:b/>
              </w:rPr>
              <w:t>sharpe</w:t>
            </w:r>
          </w:p>
        </w:tc>
        <w:tc>
          <w:tcPr>
            <w:tcW w:type="dxa" w:w="1817"/>
          </w:tcPr>
          <w:p>
            <w:r>
              <w:rPr>
                <w:b/>
              </w:rPr>
              <w:t>max_drawdown</w:t>
            </w:r>
          </w:p>
        </w:tc>
      </w:tr>
      <w:tr>
        <w:tc>
          <w:tcPr>
            <w:tcW w:type="dxa" w:w="1817"/>
          </w:tcPr>
          <w:p>
            <w:r>
              <w:t>Min-Variance</w:t>
            </w:r>
          </w:p>
        </w:tc>
        <w:tc>
          <w:tcPr>
            <w:tcW w:type="dxa" w:w="1817"/>
          </w:tcPr>
          <w:p>
            <w:r>
              <w:t>base</w:t>
            </w:r>
          </w:p>
        </w:tc>
        <w:tc>
          <w:tcPr>
            <w:tcW w:type="dxa" w:w="1817"/>
          </w:tcPr>
          <w:p>
            <w:r>
              <w:t>6.3%</w:t>
            </w:r>
          </w:p>
        </w:tc>
        <w:tc>
          <w:tcPr>
            <w:tcW w:type="dxa" w:w="1817"/>
          </w:tcPr>
          <w:p>
            <w:r>
              <w:t>0.49</w:t>
            </w:r>
          </w:p>
        </w:tc>
        <w:tc>
          <w:tcPr>
            <w:tcW w:type="dxa" w:w="1817"/>
          </w:tcPr>
          <w:p>
            <w:r>
              <w:t>-15.6%</w:t>
            </w:r>
          </w:p>
        </w:tc>
      </w:tr>
      <w:tr>
        <w:tc>
          <w:tcPr>
            <w:tcW w:type="dxa" w:w="1817"/>
          </w:tcPr>
          <w:p>
            <w:r>
              <w:t>Min-Variance</w:t>
            </w:r>
          </w:p>
        </w:tc>
        <w:tc>
          <w:tcPr>
            <w:tcW w:type="dxa" w:w="1817"/>
          </w:tcPr>
          <w:p>
            <w:r>
              <w:t>sentiment_neutral0</w:t>
            </w:r>
          </w:p>
        </w:tc>
        <w:tc>
          <w:tcPr>
            <w:tcW w:type="dxa" w:w="1817"/>
          </w:tcPr>
          <w:p>
            <w:r>
              <w:t>4.0%</w:t>
            </w:r>
          </w:p>
        </w:tc>
        <w:tc>
          <w:tcPr>
            <w:tcW w:type="dxa" w:w="1817"/>
          </w:tcPr>
          <w:p>
            <w:r>
              <w:t>0.31</w:t>
            </w:r>
          </w:p>
        </w:tc>
        <w:tc>
          <w:tcPr>
            <w:tcW w:type="dxa" w:w="1817"/>
          </w:tcPr>
          <w:p>
            <w:r>
              <w:t>-17.0%</w:t>
            </w:r>
          </w:p>
        </w:tc>
      </w:tr>
      <w:tr>
        <w:tc>
          <w:tcPr>
            <w:tcW w:type="dxa" w:w="1817"/>
          </w:tcPr>
          <w:p>
            <w:r>
              <w:t>Min-Variance</w:t>
            </w:r>
          </w:p>
        </w:tc>
        <w:tc>
          <w:tcPr>
            <w:tcW w:type="dxa" w:w="1817"/>
          </w:tcPr>
          <w:p>
            <w:r>
              <w:t>sentiment_decay</w:t>
            </w:r>
          </w:p>
        </w:tc>
        <w:tc>
          <w:tcPr>
            <w:tcW w:type="dxa" w:w="1817"/>
          </w:tcPr>
          <w:p>
            <w:r>
              <w:t>4.3%</w:t>
            </w:r>
          </w:p>
        </w:tc>
        <w:tc>
          <w:tcPr>
            <w:tcW w:type="dxa" w:w="1817"/>
          </w:tcPr>
          <w:p>
            <w:r>
              <w:t>0.33</w:t>
            </w:r>
          </w:p>
        </w:tc>
        <w:tc>
          <w:tcPr>
            <w:tcW w:type="dxa" w:w="1817"/>
          </w:tcPr>
          <w:p>
            <w:r>
              <w:t>-18.2%</w:t>
            </w:r>
          </w:p>
        </w:tc>
      </w:tr>
      <w:tr>
        <w:tc>
          <w:tcPr>
            <w:tcW w:type="dxa" w:w="1817"/>
          </w:tcPr>
          <w:p>
            <w:r>
              <w:t>Max-Sharpe</w:t>
            </w:r>
          </w:p>
        </w:tc>
        <w:tc>
          <w:tcPr>
            <w:tcW w:type="dxa" w:w="1817"/>
          </w:tcPr>
          <w:p>
            <w:r>
              <w:t>base</w:t>
            </w:r>
          </w:p>
        </w:tc>
        <w:tc>
          <w:tcPr>
            <w:tcW w:type="dxa" w:w="1817"/>
          </w:tcPr>
          <w:p>
            <w:r>
              <w:t>25.5%</w:t>
            </w:r>
          </w:p>
        </w:tc>
        <w:tc>
          <w:tcPr>
            <w:tcW w:type="dxa" w:w="1817"/>
          </w:tcPr>
          <w:p>
            <w:r>
              <w:t>1.03</w:t>
            </w:r>
          </w:p>
        </w:tc>
        <w:tc>
          <w:tcPr>
            <w:tcW w:type="dxa" w:w="1817"/>
          </w:tcPr>
          <w:p>
            <w:r>
              <w:t>-26.3%</w:t>
            </w:r>
          </w:p>
        </w:tc>
      </w:tr>
      <w:tr>
        <w:tc>
          <w:tcPr>
            <w:tcW w:type="dxa" w:w="1817"/>
          </w:tcPr>
          <w:p>
            <w:r>
              <w:t>Max-Sharpe</w:t>
            </w:r>
          </w:p>
        </w:tc>
        <w:tc>
          <w:tcPr>
            <w:tcW w:type="dxa" w:w="1817"/>
          </w:tcPr>
          <w:p>
            <w:r>
              <w:t>sentiment_neutral0</w:t>
            </w:r>
          </w:p>
        </w:tc>
        <w:tc>
          <w:tcPr>
            <w:tcW w:type="dxa" w:w="1817"/>
          </w:tcPr>
          <w:p>
            <w:r>
              <w:t>23.6%</w:t>
            </w:r>
          </w:p>
        </w:tc>
        <w:tc>
          <w:tcPr>
            <w:tcW w:type="dxa" w:w="1817"/>
          </w:tcPr>
          <w:p>
            <w:r>
              <w:t>0.91</w:t>
            </w:r>
          </w:p>
        </w:tc>
        <w:tc>
          <w:tcPr>
            <w:tcW w:type="dxa" w:w="1817"/>
          </w:tcPr>
          <w:p>
            <w:r>
              <w:t>-22.8%</w:t>
            </w:r>
          </w:p>
        </w:tc>
      </w:tr>
      <w:tr>
        <w:tc>
          <w:tcPr>
            <w:tcW w:type="dxa" w:w="1817"/>
          </w:tcPr>
          <w:p>
            <w:r>
              <w:t>Max-Sharpe</w:t>
            </w:r>
          </w:p>
        </w:tc>
        <w:tc>
          <w:tcPr>
            <w:tcW w:type="dxa" w:w="1817"/>
          </w:tcPr>
          <w:p>
            <w:r>
              <w:t>sentiment_decay</w:t>
            </w:r>
          </w:p>
        </w:tc>
        <w:tc>
          <w:tcPr>
            <w:tcW w:type="dxa" w:w="1817"/>
          </w:tcPr>
          <w:p>
            <w:r>
              <w:t>23.8%</w:t>
            </w:r>
          </w:p>
        </w:tc>
        <w:tc>
          <w:tcPr>
            <w:tcW w:type="dxa" w:w="1817"/>
          </w:tcPr>
          <w:p>
            <w:r>
              <w:t>0.93</w:t>
            </w:r>
          </w:p>
        </w:tc>
        <w:tc>
          <w:tcPr>
            <w:tcW w:type="dxa" w:w="1817"/>
          </w:tcPr>
          <w:p>
            <w:r>
              <w:t>-25.7%</w:t>
            </w:r>
          </w:p>
        </w:tc>
      </w:tr>
    </w:tbl>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growth_of_dollar.png"/>
                    <pic:cNvPicPr/>
                  </pic:nvPicPr>
                  <pic:blipFill>
                    <a:blip r:embed="rId9"/>
                    <a:stretch>
                      <a:fillRect/>
                    </a:stretch>
                  </pic:blipFill>
                  <pic:spPr>
                    <a:xfrm>
                      <a:off x="0" y="0"/>
                      <a:ext cx="5486400" cy="3291840"/>
                    </a:xfrm>
                    <a:prstGeom prst="rect"/>
                  </pic:spPr>
                </pic:pic>
              </a:graphicData>
            </a:graphic>
          </wp:inline>
        </w:drawing>
      </w:r>
    </w:p>
    <w:p>
      <w:pPr>
        <w:pStyle w:val="Caption"/>
      </w:pPr>
      <w:r>
        <w:rPr>
          <w:i/>
        </w:rPr>
        <w:t>Figure A1. Growth of $1, combined funds by method and the equal-weight market.</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drawdown.png"/>
                    <pic:cNvPicPr/>
                  </pic:nvPicPr>
                  <pic:blipFill>
                    <a:blip r:embed="rId10"/>
                    <a:stretch>
                      <a:fillRect/>
                    </a:stretch>
                  </pic:blipFill>
                  <pic:spPr>
                    <a:xfrm>
                      <a:off x="0" y="0"/>
                      <a:ext cx="5486400" cy="3291840"/>
                    </a:xfrm>
                    <a:prstGeom prst="rect"/>
                  </pic:spPr>
                </pic:pic>
              </a:graphicData>
            </a:graphic>
          </wp:inline>
        </w:drawing>
      </w:r>
    </w:p>
    <w:p>
      <w:pPr>
        <w:pStyle w:val="Caption"/>
      </w:pPr>
      <w:r>
        <w:rPr>
          <w:i/>
        </w:rPr>
        <w:t>Figure A2. Drawdown from the running peak, two combined funds.</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weights_over_time.png"/>
                    <pic:cNvPicPr/>
                  </pic:nvPicPr>
                  <pic:blipFill>
                    <a:blip r:embed="rId11"/>
                    <a:stretch>
                      <a:fillRect/>
                    </a:stretch>
                  </pic:blipFill>
                  <pic:spPr>
                    <a:xfrm>
                      <a:off x="0" y="0"/>
                      <a:ext cx="5486400" cy="3291840"/>
                    </a:xfrm>
                    <a:prstGeom prst="rect"/>
                  </pic:spPr>
                </pic:pic>
              </a:graphicData>
            </a:graphic>
          </wp:inline>
        </w:drawing>
      </w:r>
    </w:p>
    <w:p>
      <w:pPr>
        <w:pStyle w:val="Caption"/>
      </w:pPr>
      <w:r>
        <w:rPr>
          <w:i/>
        </w:rPr>
        <w:t>Figure A3. Maximum-Sharpe target weights over time (top 6 holdings).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sharpe_barplot.png"/>
                    <pic:cNvPicPr/>
                  </pic:nvPicPr>
                  <pic:blipFill>
                    <a:blip r:embed="rId12"/>
                    <a:stretch>
                      <a:fillRect/>
                    </a:stretch>
                  </pic:blipFill>
                  <pic:spPr>
                    <a:xfrm>
                      <a:off x="0" y="0"/>
                      <a:ext cx="5486400" cy="3291840"/>
                    </a:xfrm>
                    <a:prstGeom prst="rect"/>
                  </pic:spPr>
                </pic:pic>
              </a:graphicData>
            </a:graphic>
          </wp:inline>
        </w:drawing>
      </w:r>
    </w:p>
    <w:p>
      <w:pPr>
        <w:pStyle w:val="Caption"/>
      </w:pPr>
      <w:r>
        <w:rPr>
          <w:i/>
        </w:rPr>
        <w:t>Figure A4. Annualised Sharpe by fund and method, coloured by family, against the market.</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sector_sentiment.png"/>
                    <pic:cNvPicPr/>
                  </pic:nvPicPr>
                  <pic:blipFill>
                    <a:blip r:embed="rId13"/>
                    <a:stretch>
                      <a:fillRect/>
                    </a:stretch>
                  </pic:blipFill>
                  <pic:spPr>
                    <a:xfrm>
                      <a:off x="0" y="0"/>
                      <a:ext cx="5486400" cy="3291840"/>
                    </a:xfrm>
                    <a:prstGeom prst="rect"/>
                  </pic:spPr>
                </pic:pic>
              </a:graphicData>
            </a:graphic>
          </wp:inline>
        </w:drawing>
      </w:r>
    </w:p>
    <w:p>
      <w:pPr>
        <w:pStyle w:val="Caption"/>
      </w:pPr>
      <w:r>
        <w:rPr>
          <w:i/>
        </w:rPr>
        <w:t>Figure A5. Monthly sector sentiment index, ten equity sectors and their average.</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usion_before_after.png"/>
                    <pic:cNvPicPr/>
                  </pic:nvPicPr>
                  <pic:blipFill>
                    <a:blip r:embed="rId14"/>
                    <a:stretch>
                      <a:fillRect/>
                    </a:stretch>
                  </pic:blipFill>
                  <pic:spPr>
                    <a:xfrm>
                      <a:off x="0" y="0"/>
                      <a:ext cx="5486400" cy="3291840"/>
                    </a:xfrm>
                    <a:prstGeom prst="rect"/>
                  </pic:spPr>
                </pic:pic>
              </a:graphicData>
            </a:graphic>
          </wp:inline>
        </w:drawing>
      </w:r>
    </w:p>
    <w:p>
      <w:pPr>
        <w:pStyle w:val="Caption"/>
      </w:pPr>
      <w:r>
        <w:rPr>
          <w:i/>
        </w:rPr>
        <w:t>Figure A6. Base vs sentiment-tilted growth of $1.</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shrinkage_growth.png"/>
                    <pic:cNvPicPr/>
                  </pic:nvPicPr>
                  <pic:blipFill>
                    <a:blip r:embed="rId15"/>
                    <a:stretch>
                      <a:fillRect/>
                    </a:stretch>
                  </pic:blipFill>
                  <pic:spPr>
                    <a:xfrm>
                      <a:off x="0" y="0"/>
                      <a:ext cx="5486400" cy="3291840"/>
                    </a:xfrm>
                    <a:prstGeom prst="rect"/>
                  </pic:spPr>
                </pic:pic>
              </a:graphicData>
            </a:graphic>
          </wp:inline>
        </w:drawing>
      </w:r>
    </w:p>
    <w:p>
      <w:pPr>
        <w:pStyle w:val="Caption"/>
      </w:pPr>
      <w:r>
        <w:rPr>
          <w:i/>
        </w:rPr>
        <w:t>Figure A7. Growth of $1 under the sample vs Ledoit-Wolf covariance.</w:t>
      </w:r>
    </w:p>
    <w:p>
      <w:pPr>
        <w:jc w:val="center"/>
      </w:pPr>
      <w:r>
        <w:drawing>
          <wp:inline xmlns:a="http://schemas.openxmlformats.org/drawingml/2006/main" xmlns:pic="http://schemas.openxmlformats.org/drawingml/2006/picture">
            <wp:extent cx="5486400" cy="3297646"/>
            <wp:docPr id="8" name="Picture 8"/>
            <wp:cNvGraphicFramePr>
              <a:graphicFrameLocks noChangeAspect="1"/>
            </wp:cNvGraphicFramePr>
            <a:graphic>
              <a:graphicData uri="http://schemas.openxmlformats.org/drawingml/2006/picture">
                <pic:pic>
                  <pic:nvPicPr>
                    <pic:cNvPr id="0" name="shrinkage_dispersion.png"/>
                    <pic:cNvPicPr/>
                  </pic:nvPicPr>
                  <pic:blipFill>
                    <a:blip r:embed="rId16"/>
                    <a:stretch>
                      <a:fillRect/>
                    </a:stretch>
                  </pic:blipFill>
                  <pic:spPr>
                    <a:xfrm>
                      <a:off x="0" y="0"/>
                      <a:ext cx="5486400" cy="3297646"/>
                    </a:xfrm>
                    <a:prstGeom prst="rect"/>
                  </pic:spPr>
                </pic:pic>
              </a:graphicData>
            </a:graphic>
          </wp:inline>
        </w:drawing>
      </w:r>
    </w:p>
    <w:p>
      <w:pPr>
        <w:pStyle w:val="Caption"/>
      </w:pPr>
      <w:r>
        <w:rPr>
          <w:i/>
        </w:rPr>
        <w:t>Figure A8. Effective number of holdings, sample vs shrunk.</w:t>
      </w:r>
    </w:p>
    <w:p>
      <w:pPr>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two_stage_growth.png"/>
                    <pic:cNvPicPr/>
                  </pic:nvPicPr>
                  <pic:blipFill>
                    <a:blip r:embed="rId17"/>
                    <a:stretch>
                      <a:fillRect/>
                    </a:stretch>
                  </pic:blipFill>
                  <pic:spPr>
                    <a:xfrm>
                      <a:off x="0" y="0"/>
                      <a:ext cx="5486400" cy="3291840"/>
                    </a:xfrm>
                    <a:prstGeom prst="rect"/>
                  </pic:spPr>
                </pic:pic>
              </a:graphicData>
            </a:graphic>
          </wp:inline>
        </w:drawing>
      </w:r>
    </w:p>
    <w:p>
      <w:pPr>
        <w:pStyle w:val="Caption"/>
      </w:pPr>
      <w:r>
        <w:rPr>
          <w:i/>
        </w:rPr>
        <w:t>Figure A9. Growth of $1, one-stage vs two-stage.</w:t>
      </w:r>
    </w:p>
    <w:p>
      <w:pPr>
        <w:jc w:val="center"/>
      </w:pPr>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two_stage_sleeve_share.png"/>
                    <pic:cNvPicPr/>
                  </pic:nvPicPr>
                  <pic:blipFill>
                    <a:blip r:embed="rId18"/>
                    <a:stretch>
                      <a:fillRect/>
                    </a:stretch>
                  </pic:blipFill>
                  <pic:spPr>
                    <a:xfrm>
                      <a:off x="0" y="0"/>
                      <a:ext cx="5486400" cy="3291840"/>
                    </a:xfrm>
                    <a:prstGeom prst="rect"/>
                  </pic:spPr>
                </pic:pic>
              </a:graphicData>
            </a:graphic>
          </wp:inline>
        </w:drawing>
      </w:r>
    </w:p>
    <w:p>
      <w:pPr>
        <w:pStyle w:val="Caption"/>
      </w:pPr>
      <w:r>
        <w:rPr>
          <w:i/>
        </w:rPr>
        <w:t>Figure A10. Realised equity-sleeve share over time, two-stage funds.</w:t>
      </w:r>
    </w:p>
    <w:p>
      <w:pPr>
        <w:jc w:val="center"/>
      </w:pPr>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decay_mechanism.png"/>
                    <pic:cNvPicPr/>
                  </pic:nvPicPr>
                  <pic:blipFill>
                    <a:blip r:embed="rId19"/>
                    <a:stretch>
                      <a:fillRect/>
                    </a:stretch>
                  </pic:blipFill>
                  <pic:spPr>
                    <a:xfrm>
                      <a:off x="0" y="0"/>
                      <a:ext cx="5486400" cy="3291840"/>
                    </a:xfrm>
                    <a:prstGeom prst="rect"/>
                  </pic:spPr>
                </pic:pic>
              </a:graphicData>
            </a:graphic>
          </wp:inline>
        </w:drawing>
      </w:r>
    </w:p>
    <w:p>
      <w:pPr>
        <w:pStyle w:val="Caption"/>
      </w:pPr>
      <w:r>
        <w:rPr>
          <w:i/>
        </w:rPr>
        <w:t>Figure A11. Sentiment fill for one ticker: neutral-0 rule vs decay.</w:t>
      </w:r>
    </w:p>
    <w:p>
      <w:pPr>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decay_fusion.png"/>
                    <pic:cNvPicPr/>
                  </pic:nvPicPr>
                  <pic:blipFill>
                    <a:blip r:embed="rId20"/>
                    <a:stretch>
                      <a:fillRect/>
                    </a:stretch>
                  </pic:blipFill>
                  <pic:spPr>
                    <a:xfrm>
                      <a:off x="0" y="0"/>
                      <a:ext cx="5486400" cy="3291840"/>
                    </a:xfrm>
                    <a:prstGeom prst="rect"/>
                  </pic:spPr>
                </pic:pic>
              </a:graphicData>
            </a:graphic>
          </wp:inline>
        </w:drawing>
      </w:r>
    </w:p>
    <w:p>
      <w:pPr>
        <w:pStyle w:val="Caption"/>
      </w:pPr>
      <w:r>
        <w:rPr>
          <w:i/>
        </w:rPr>
        <w:t>Figure A12. Growth of $1: base vs neutral-0 tilt vs decayed tilt.</w:t>
      </w:r>
    </w:p>
    <w:p>
      <w:pPr>
        <w:jc w:val="center"/>
      </w:pPr>
      <w:r>
        <w:drawing>
          <wp:inline xmlns:a="http://schemas.openxmlformats.org/drawingml/2006/main" xmlns:pic="http://schemas.openxmlformats.org/drawingml/2006/picture">
            <wp:extent cx="5486400" cy="2197359"/>
            <wp:docPr id="13" name="Picture 13"/>
            <wp:cNvGraphicFramePr>
              <a:graphicFrameLocks noChangeAspect="1"/>
            </wp:cNvGraphicFramePr>
            <a:graphic>
              <a:graphicData uri="http://schemas.openxmlformats.org/drawingml/2006/picture">
                <pic:pic>
                  <pic:nvPicPr>
                    <pic:cNvPr id="0" name="01_home.jpg"/>
                    <pic:cNvPicPr/>
                  </pic:nvPicPr>
                  <pic:blipFill>
                    <a:blip r:embed="rId21"/>
                    <a:stretch>
                      <a:fillRect/>
                    </a:stretch>
                  </pic:blipFill>
                  <pic:spPr>
                    <a:xfrm>
                      <a:off x="0" y="0"/>
                      <a:ext cx="5486400" cy="2197359"/>
                    </a:xfrm>
                    <a:prstGeom prst="rect"/>
                  </pic:spPr>
                </pic:pic>
              </a:graphicData>
            </a:graphic>
          </wp:inline>
        </w:drawing>
      </w:r>
    </w:p>
    <w:p>
      <w:pPr>
        <w:pStyle w:val="Caption"/>
      </w:pPr>
      <w:r>
        <w:rPr>
          <w:i/>
        </w:rPr>
        <w:t>Figure A13. App home: the offering and the headline that 3 of 11 funds beat the market.</w:t>
      </w:r>
    </w:p>
    <w:p>
      <w:pPr>
        <w:jc w:val="center"/>
      </w:pPr>
      <w:r>
        <w:drawing>
          <wp:inline xmlns:a="http://schemas.openxmlformats.org/drawingml/2006/main" xmlns:pic="http://schemas.openxmlformats.org/drawingml/2006/picture">
            <wp:extent cx="5486400" cy="2197359"/>
            <wp:docPr id="14" name="Picture 14"/>
            <wp:cNvGraphicFramePr>
              <a:graphicFrameLocks noChangeAspect="1"/>
            </wp:cNvGraphicFramePr>
            <a:graphic>
              <a:graphicData uri="http://schemas.openxmlformats.org/drawingml/2006/picture">
                <pic:pic>
                  <pic:nvPicPr>
                    <pic:cNvPr id="0" name="02_funds_compare.jpg"/>
                    <pic:cNvPicPr/>
                  </pic:nvPicPr>
                  <pic:blipFill>
                    <a:blip r:embed="rId22"/>
                    <a:stretch>
                      <a:fillRect/>
                    </a:stretch>
                  </pic:blipFill>
                  <pic:spPr>
                    <a:xfrm>
                      <a:off x="0" y="0"/>
                      <a:ext cx="5486400" cy="2197359"/>
                    </a:xfrm>
                    <a:prstGeom prst="rect"/>
                  </pic:spPr>
                </pic:pic>
              </a:graphicData>
            </a:graphic>
          </wp:inline>
        </w:drawing>
      </w:r>
    </w:p>
    <w:p>
      <w:pPr>
        <w:pStyle w:val="Caption"/>
      </w:pPr>
      <w:r>
        <w:rPr>
          <w:i/>
        </w:rPr>
        <w:t>Figure A14. App Funds page: the eleven-fund comparison table and the multi-asset cards.</w:t>
      </w:r>
    </w:p>
    <w:p>
      <w:pPr>
        <w:jc w:val="center"/>
      </w:pPr>
      <w:r>
        <w:drawing>
          <wp:inline xmlns:a="http://schemas.openxmlformats.org/drawingml/2006/main" xmlns:pic="http://schemas.openxmlformats.org/drawingml/2006/picture">
            <wp:extent cx="5486400" cy="2197359"/>
            <wp:docPr id="15" name="Picture 15"/>
            <wp:cNvGraphicFramePr>
              <a:graphicFrameLocks noChangeAspect="1"/>
            </wp:cNvGraphicFramePr>
            <a:graphic>
              <a:graphicData uri="http://schemas.openxmlformats.org/drawingml/2006/picture">
                <pic:pic>
                  <pic:nvPicPr>
                    <pic:cNvPr id="0" name="03_fact_sheet.jpg"/>
                    <pic:cNvPicPr/>
                  </pic:nvPicPr>
                  <pic:blipFill>
                    <a:blip r:embed="rId23"/>
                    <a:stretch>
                      <a:fillRect/>
                    </a:stretch>
                  </pic:blipFill>
                  <pic:spPr>
                    <a:xfrm>
                      <a:off x="0" y="0"/>
                      <a:ext cx="5486400" cy="2197359"/>
                    </a:xfrm>
                    <a:prstGeom prst="rect"/>
                  </pic:spPr>
                </pic:pic>
              </a:graphicData>
            </a:graphic>
          </wp:inline>
        </w:drawing>
      </w:r>
    </w:p>
    <w:p>
      <w:pPr>
        <w:pStyle w:val="Caption"/>
      </w:pPr>
      <w:r>
        <w:rPr>
          <w:i/>
        </w:rPr>
        <w:t>Figure A15. App fund fact sheet: key stats, the beats-market pill, and the Overview / Performance / Holdings tabs.</w:t>
      </w:r>
    </w:p>
    <w:p>
      <w:pPr>
        <w:jc w:val="center"/>
      </w:pPr>
      <w:r>
        <w:drawing>
          <wp:inline xmlns:a="http://schemas.openxmlformats.org/drawingml/2006/main" xmlns:pic="http://schemas.openxmlformats.org/drawingml/2006/picture">
            <wp:extent cx="5486400" cy="2197359"/>
            <wp:docPr id="16" name="Picture 16"/>
            <wp:cNvGraphicFramePr>
              <a:graphicFrameLocks noChangeAspect="1"/>
            </wp:cNvGraphicFramePr>
            <a:graphic>
              <a:graphicData uri="http://schemas.openxmlformats.org/drawingml/2006/picture">
                <pic:pic>
                  <pic:nvPicPr>
                    <pic:cNvPr id="0" name="05_sentiment.jpg"/>
                    <pic:cNvPicPr/>
                  </pic:nvPicPr>
                  <pic:blipFill>
                    <a:blip r:embed="rId24"/>
                    <a:stretch>
                      <a:fillRect/>
                    </a:stretch>
                  </pic:blipFill>
                  <pic:spPr>
                    <a:xfrm>
                      <a:off x="0" y="0"/>
                      <a:ext cx="5486400" cy="2197359"/>
                    </a:xfrm>
                    <a:prstGeom prst="rect"/>
                  </pic:spPr>
                </pic:pic>
              </a:graphicData>
            </a:graphic>
          </wp:inline>
        </w:drawing>
      </w:r>
    </w:p>
    <w:p>
      <w:pPr>
        <w:pStyle w:val="Caption"/>
      </w:pPr>
      <w:r>
        <w:rPr>
          <w:i/>
        </w:rPr>
        <w:t>Figure A16. App Sentiment page: the news-mood gauge, the sector index, and the fusion result.</w:t>
      </w:r>
    </w:p>
    <w:p>
      <w:pPr>
        <w:jc w:val="center"/>
      </w:pPr>
      <w:r>
        <w:drawing>
          <wp:inline xmlns:a="http://schemas.openxmlformats.org/drawingml/2006/main" xmlns:pic="http://schemas.openxmlformats.org/drawingml/2006/picture">
            <wp:extent cx="5486400" cy="2197359"/>
            <wp:docPr id="17" name="Picture 17"/>
            <wp:cNvGraphicFramePr>
              <a:graphicFrameLocks noChangeAspect="1"/>
            </wp:cNvGraphicFramePr>
            <a:graphic>
              <a:graphicData uri="http://schemas.openxmlformats.org/drawingml/2006/picture">
                <pic:pic>
                  <pic:nvPicPr>
                    <pic:cNvPr id="0" name="06_build_portfolio.jpg"/>
                    <pic:cNvPicPr/>
                  </pic:nvPicPr>
                  <pic:blipFill>
                    <a:blip r:embed="rId25"/>
                    <a:stretch>
                      <a:fillRect/>
                    </a:stretch>
                  </pic:blipFill>
                  <pic:spPr>
                    <a:xfrm>
                      <a:off x="0" y="0"/>
                      <a:ext cx="5486400" cy="2197359"/>
                    </a:xfrm>
                    <a:prstGeom prst="rect"/>
                  </pic:spPr>
                </pic:pic>
              </a:graphicData>
            </a:graphic>
          </wp:inline>
        </w:drawing>
      </w:r>
    </w:p>
    <w:p>
      <w:pPr>
        <w:pStyle w:val="Caption"/>
      </w:pPr>
      <w:r>
        <w:rPr>
          <w:i/>
        </w:rPr>
        <w:t>Figure A17. App Build-portfolio page: the fund blender, the fixed 0.75% fee, and the deployment table.</w:t>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