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Customer Behaviour &amp; Value Analysis</w:t>
      </w:r>
    </w:p>
    <w:p w:rsidR="00000000" w:rsidDel="00000000" w:rsidP="00000000" w:rsidRDefault="00000000" w:rsidRPr="00000000" w14:paraId="00000002">
      <w:pPr>
        <w:pStyle w:val="Heading1"/>
        <w:rPr>
          <w:color w:val="4f81bd"/>
        </w:rPr>
      </w:pPr>
      <w:bookmarkStart w:colFirst="0" w:colLast="0" w:name="_heading=h.f5omvxocphq8" w:id="0"/>
      <w:bookmarkEnd w:id="0"/>
      <w:r w:rsidDel="00000000" w:rsidR="00000000" w:rsidRPr="00000000">
        <w:rPr>
          <w:color w:val="4f81bd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understand customer behavioral patterns — particularly distinguishing One-Off, Low Engagement, and Repeat users — and to assess their impact on revenue over time. This analysis supports strategic planning around growth.</w:t>
      </w:r>
    </w:p>
    <w:p w:rsidR="00000000" w:rsidDel="00000000" w:rsidP="00000000" w:rsidRDefault="00000000" w:rsidRPr="00000000" w14:paraId="00000004">
      <w:pPr>
        <w:pStyle w:val="Heading2"/>
        <w:rPr>
          <w:rFonts w:ascii="Cambria" w:cs="Cambria" w:eastAsia="Cambria" w:hAnsi="Cambria"/>
          <w:b w:val="0"/>
          <w:color w:val="000000"/>
          <w:sz w:val="22"/>
          <w:szCs w:val="22"/>
        </w:rPr>
      </w:pPr>
      <w:bookmarkStart w:colFirst="0" w:colLast="0" w:name="_heading=h.sqbxogpl5ari" w:id="1"/>
      <w:bookmarkEnd w:id="1"/>
      <w:r w:rsidDel="00000000" w:rsidR="00000000" w:rsidRPr="00000000">
        <w:rPr>
          <w:rtl w:val="0"/>
        </w:rPr>
        <w:t xml:space="preserve">What are our customers doing, and who brings in the most value?</w:t>
        <w:br w:type="textWrapping"/>
      </w:r>
      <w:r w:rsidDel="00000000" w:rsidR="00000000" w:rsidRPr="00000000">
        <w:rPr>
          <w:rFonts w:ascii="Cambria" w:cs="Cambria" w:eastAsia="Cambria" w:hAnsi="Cambria"/>
          <w:b w:val="0"/>
          <w:color w:val="000000"/>
          <w:sz w:val="22"/>
          <w:szCs w:val="22"/>
          <w:rtl w:val="0"/>
        </w:rPr>
        <w:t xml:space="preserve">How do our customers behave over time, and which segments truly drive revenue?</w:t>
        <w:br w:type="textWrapping"/>
        <w:t xml:space="preserve">We identified three key customer segments based on transaction frequency and time:</w:t>
        <w:br w:type="textWrapping"/>
        <w:t xml:space="preserve">- One-Off: 1 transaction in 1 quarter</w:t>
        <w:br w:type="textWrapping"/>
        <w:t xml:space="preserve">- Low Engagement: ≤10 transactions in ≤2 quarters</w:t>
        <w:br w:type="textWrapping"/>
        <w:t xml:space="preserve">- Repeat: All others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8wcppi69onhu" w:id="2"/>
      <w:bookmarkEnd w:id="2"/>
      <w:r w:rsidDel="00000000" w:rsidR="00000000" w:rsidRPr="00000000">
        <w:rPr>
          <w:rtl w:val="0"/>
        </w:rPr>
        <w:t xml:space="preserve">1. Findings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Repeat customers are the clear revenue drivers for the business. Although they represent   just under 60% of all active customers they contribute to around 95% of total revenue, nearly £3 billion in value.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</w:rPr>
        <w:drawing>
          <wp:inline distB="114300" distT="114300" distL="114300" distR="114300">
            <wp:extent cx="5467350" cy="1348692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486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71936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19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2. Behaviour by Engagement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Three heatmaps were created using binned data (transaction count × number of quarters):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a.Customer Count per Bin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- The largest user group is concentrated in the (1 transaction, 1 quarter) bin (~5.6M users).</w:t>
        <w:br w:type="textWrapping"/>
        <w:t xml:space="preserve">- Most customers are short-lived and low-volume.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- A substantial amount of customers is concentrated in </w:t>
      </w:r>
      <w:r w:rsidDel="00000000" w:rsidR="00000000" w:rsidRPr="00000000">
        <w:rPr>
          <w:u w:val="single"/>
          <w:rtl w:val="0"/>
        </w:rPr>
        <w:t xml:space="preserve">10–100 transactions over 4–16 quarters</w:t>
      </w:r>
      <w:r w:rsidDel="00000000" w:rsidR="00000000" w:rsidRPr="00000000">
        <w:rPr>
          <w:rtl w:val="0"/>
        </w:rPr>
        <w:t xml:space="preserve">. Some of these bins/brackets seem to be associated with the highest amounts of revenue (next graph).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529013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90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b. Heatmap 2 – Total Revenue per Bin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- Despite high user count, One-Offs generate only ~£37M.</w:t>
        <w:br w:type="textWrapping"/>
        <w:t xml:space="preserve">- Repeat users (e.g., 10–100 transactions over 4–16 quarters) dominate total revenue — contributing hundreds of millions.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- The largest bin/bracket  is located in the bin/bracket of 10 to 100 transactions over 8 to 16 quarters and has yielded over £669M.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The second largest is that of 100 to 1000 transactions over 16 to 32 quarters. £654M.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610164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101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c. Heatmap 3 – Average Revenue per User per Bin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-One-Offs average ~£6 per user, while top repeat segments reach up to £5,000 per user. It separates customer volume from true economic impact.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3091093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09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3. Longitudinal Behavior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a. Revenue and Volume Over 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The Repeat segment has delivered the bulk of revenue consistently over time.</w:t>
        <w:br w:type="textWrapping"/>
        <w:t xml:space="preserve">- One-Off and Low Engagement groups remain flat.</w:t>
        <w:br w:type="textWrapping"/>
      </w:r>
      <w:r w:rsidDel="00000000" w:rsidR="00000000" w:rsidRPr="00000000">
        <w:rPr/>
        <w:drawing>
          <wp:inline distB="114300" distT="114300" distL="114300" distR="114300">
            <wp:extent cx="5660813" cy="4352925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813" cy="4352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b. Year-over-Year Growth Trends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Repeat customers show higher consistency and compoundable growth. Recent softness is likely due to data lag and newer users not yet qualifying as repeat.</w:t>
        <w:br w:type="textWrapping"/>
        <w:t xml:space="preserve">- Growth in One-Off/Low Engagement segments is unstable, signaling churn-prone behaviors. (Last quarters are provisional due to recency and may underrepresent repeat)</w:t>
      </w:r>
      <w:r w:rsidDel="00000000" w:rsidR="00000000" w:rsidRPr="00000000">
        <w:rPr/>
        <w:drawing>
          <wp:inline distB="114300" distT="114300" distL="114300" distR="114300">
            <wp:extent cx="5486400" cy="296296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9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4. Summary &amp; Recommendations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Key Messages: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Repeat customers are the main revenue drivers  of the business. They represent roughly 60% share of all users and contribute more than 95% to revenue. This validates the focus on retention, loyalty, and growth strategies targeted at this group.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al8324zc1d8e" w:id="3"/>
      <w:bookmarkEnd w:id="3"/>
      <w:r w:rsidDel="00000000" w:rsidR="00000000" w:rsidRPr="00000000">
        <w:rPr>
          <w:rtl w:val="0"/>
        </w:rPr>
        <w:t xml:space="preserve">Suggested Next Steps: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While this analysis provides a foundational segmentation, next steps could include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- the Repeat segment itself could be further segmented — for example, into high-frequency low-value, high-value long-term, or seasonal repeaters — to uncover deeper behavioral insights across repeat customers themselves.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Deeper investigation into Repeat user acquisition sources</w:t>
        <w:br w:type="textWrapping"/>
        <w:t xml:space="preserve">- Conversion paths from Low Engagement → Repeat</w:t>
        <w:br w:type="textWrapping"/>
        <w:t xml:space="preserve">- Tailored retention or winback initiatives by segment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20160" w:w="12240" w:orient="portrait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UN5xn+dyTp5h/EmmzWCuR22nAA==">CgMxLjAyDmguZjVvbXZ4b2NwaHE4Mg5oLnNxYnhvZ3BsNWFyaTIOaC44d2NwcGk2OW9uaHUyDmguYWw4MzI0emMxZDhlOAByITFfY0VycUJkVUM1SkE5Z1dCNFlqbnJXdkxjaDJaZmRyYw==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