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Manuel ingresó en una empresa el 31 de enero de 1963, se le comunica el despido el 31 de enero del 1997. Las tablas salariales de convenio incluyen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SB de 480,81€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Plus antigüedad de 48.08€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Plus de calidad de 90.15€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Dietas 60.10€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Pagas extras prorrateadas por SB+Plus antigüedad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Tras la oportuna reclamación, el juzgado falla y el 20 de abril de 1997 el despido se nombra como improcedente. Calcular la indemnización, salario de tramitación y finiquito. (todas las posibles cuantías). Finiquito?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Trabajador es representante sindical: si no lo llegase a ser el empresario decide si readmitirlo o 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Finiquito: pagas extras+ vacaciones no  cobradas (desde el 1 de enero hasta fecha de comunicación de sentencia).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ic Sans MS" w:cs="Comic Sans MS" w:eastAsia="Comic Sans MS" w:hAnsi="Comic Sans MS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