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Plan de Acción para el Proyecto: "Predicción de Patrones de Migración Infantil en la Unión Europea"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Fase 1: Preparación y Desarrollo Inicial (Semana 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1. Investigación y Recopilación de Datos Relevantes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Fuentes de Datos: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Bases de datos de Eurostat sobre migración y demografía.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Informes de UNICEF y ACNUR sobre migración infantil.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Datos socioeconómicos y geográficos de la Unión Europea disponibles en portales abiertos.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Tareas: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Buscar y descargar conjuntos de datos relevantes.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Revisar la calidad y disponibilidad de los datos (fechas de actualización, completitud, formato).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2. Limpieza y Preparación Inicial de los Conjuntos de Datos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Tareas: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Estandarizar formatos de datos (e.g., fechas, categorías).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 Manejar valores faltantes (imputación o eliminación).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Normalizar datos para garantizar la coherencia entre distintas fuentes.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3. Exploración de Datos Preliminar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Tareas: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Realizar análisis exploratorio de datos (EDA) utilizando Python (pandas, matplotlib, seaborn).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Identificar patrones iniciales, distribuciones y relaciones entre variables.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Generar visualizaciones iniciales para mejor comprensión de los datos.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4. Desarrollo Inicial del Modelo de Machine Learning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Tareas: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Definir el problema de predicción (e.g., ¿predicción anual de migración por país?).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Seleccionar las técnicas y algoritmos iniciales (e.g., regresión logística, árboles de decisión).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Implementar y entrenar modelos básicos utilizando un subconjunto de datos.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Fase 2: Entrenamiento del Modelo y Creación del Dashboard (Semana 2)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 Desarrollo del Prototipo del Dashboard Interactivo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Tareas: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Diseñar el dashboard en Tableau para presentar los resultados del modelo.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Incluir visualizaciones clave (e.g., mapas de calor, gráficos de tendencia).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Asegurar la interactividad y la facilidad de uso del dashboard.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6. Pruebas y Ajustes Finales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Tareas: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 Realizar pruebas de usuario para asegurar la funcionalidad y usabilidad del dashboard.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 Hacer ajustes finales al modelo y al dashboard basado en el feedback recibido.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Preparar la documentación final del proyecto.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Entregables Finales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1. Repo: README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- Información detallada sobre el proyecto.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Instrucciones de instalación y uso.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- Descripción del conjunto de datos utilizado.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2. Código Python + SQL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Scripts para la preparación de datos, entrenamiento de modelos y consultas SQL.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3. Dashboard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- Prototipo interactivo en Tableau para visualizar los resultados del modelo de Machine Learning.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Herramientas y Tecnologías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Lenguajes y Librerías: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- Python (pandas, numpy, scikit-learn, matplotlib, seaborn)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- SQL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- Tableau (para prototipo de interfaz)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Herramientas: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Tableau (para visualización interactiva)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Jupyter Notebooks (para desarrollo y análisis exploratorio)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1. Semana 1: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- Investigación y recopilación de datos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- Limpieza y preparación inicial de datos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- Exploración de datos preliminar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- Entrenamiento y ajuste del modelo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2. Semana 2: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- Desarrollo del dashboard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- Pruebas y ajustes finales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Conclusión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El proyecto está diseñado para abordar la complejidad de la migración infantil en la Unión Europea mediante el uso de técnicas avanzadas de Machine Learning y herramientas de visualización. La estructura y el cronograma planteados asegurarán un enfoque metódico y eficiente para alcanzar los objetivos propuestos y entregar un producto final útil y aplicable para organizaciones y gobiernos interesados en este fenómeno.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