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Resumen</w:t>
      </w:r>
    </w:p>
    <w:p>
      <w:r>
        <w:t xml:space="preserve">Los gemelos digitales de ecosistemas naturales constituyen un paradigma emergente para el monitoreo y la gestión ambiental, aunque su aplicación a humedales costeros del Pacífico suroriental permanece escasamente documentada. Este estudio presenta un </w:t>
      </w:r>
      <w:r>
        <w:rPr>
          <w:b/>
        </w:rPr>
        <w:t>gemelo digital</w:t>
      </w:r>
      <w:r>
        <w:t xml:space="preserve"> del Santuario Nacional Los Manglares de Tumbes (SNLMT), en el norte del Perú, aplicando la metodología </w:t>
      </w:r>
      <w:r>
        <w:rPr>
          <w:b/>
        </w:rPr>
        <w:t>CRISP-DM</w:t>
      </w:r>
      <w:r>
        <w:t xml:space="preserve"> para modelar y explicar la variación del carbono retenido bajo escenarios de restauración hidrológica y ascenso del nivel del mar hasta 2050.</w:t>
      </w:r>
    </w:p>
    <w:p>
      <w:r>
        <w:t xml:space="preserve">El dataset es de naturaleza </w:t>
      </w:r>
      <w:r>
        <w:rPr>
          <w:b/>
        </w:rPr>
        <w:t>híbrida</w:t>
      </w:r>
      <w:r>
        <w:t>: las covariables y la calibración provienen de datos reales publicados sobre el SNLMT —extensión y cobertura por clase, rangos de índice de vegetación de diferencia normalizada (NDVI), índice de valor de importancia (IVI) por especie y contenido de carbono azul—, mientras que la variable objetivo se genera con un motor determinista parametrizable, replicable y sustituible por mediciones de campo. La separación explícita entre ambas porciones responde a la exigencia de transparencia que la literatura sobre gemelos digitales ecológicos formula de manera consistente.</w:t>
      </w:r>
    </w:p>
    <w:p>
      <w:r>
        <w:t xml:space="preserve">Se evaluaron cinco algoritmos de aprendizaje supervisado mediante validación cruzada de diez particiones, pruebas de significancia estadística (t pareada y Wilcoxon), intervalos de confianza por remuestreo bootstrap e interpretabilidad mediante importancia por permutación. El ensamble </w:t>
      </w:r>
      <w:r>
        <w:rPr>
          <w:b/>
        </w:rPr>
        <w:t>Extra Trees</w:t>
      </w:r>
      <w:r>
        <w:t xml:space="preserve"> alcanzó el mejor desempeño (R² = 1,000; MAE = 0,014 puntos porcentuales), significativamente superior a la línea base lineal (t = 25,91; p &lt; 0,001). La restauración hidrológica produjo incrementos superiores al umbral del +25 % en un 34,85 % de los escenarios del tramo de intervención alta, con una ganancia media de 11,24 %, mientras que los tramos intermedios produjeron el tránsito de la pérdida neta a la ganancia neta.</w:t>
      </w:r>
    </w:p>
    <w:p>
      <w:r>
        <w:t>Los resultados se materializan en un panel interactivo y en reportes exportables que documentan cada fase analítica, con trazabilidad de control de versiones sobre 39 confirmaciones de código.</w:t>
      </w:r>
    </w:p>
    <w:p>
      <w:r>
        <w:rPr>
          <w:b/>
        </w:rPr>
        <w:t>Palabras clave:</w:t>
      </w:r>
      <w:r>
        <w:t xml:space="preserve"> gemelo digital; humedal costero; carbono azul; restauración hidrológica; CRISP-DM; Tumbes; Perú.</w:t>
      </w:r>
    </w:p>
    <w:p>
      <w:pPr>
        <w:pStyle w:val="Heading1"/>
      </w:pPr>
      <w:r>
        <w:t>Introducción</w:t>
      </w:r>
    </w:p>
    <w:p>
      <w:r>
        <w:t xml:space="preserve">Los gemelos digitales surgieron en el ámbito de la ingeniería como representaciones virtuales de un activo físico, actualizadas de forma continua para reflejar su estructura y comportamiento actuales </w:t>
      </w:r>
      <w:r>
        <w:t>(Rasheed et al et al., 2020)</w:t>
      </w:r>
      <w:r>
        <w:t xml:space="preserve">. Su definición canónica los describe como una representación virtual de un activo físico habilitada mediante datos y simuladores para la predicción, optimización y monitoreo en tiempo real </w:t>
      </w:r>
      <w:r>
        <w:t>(Rasheed et al et al., 2020)</w:t>
      </w:r>
      <w:r>
        <w:t xml:space="preserve">, o bien como una representación dinámica de un objeto real que refleja sus estados y comportamiento a lo largo de su ciclo de vida </w:t>
      </w:r>
      <w:r>
        <w:t>(Verdouw et al et al., 2021)</w:t>
      </w:r>
      <w:r>
        <w:t xml:space="preserve">. La distinción entre un modelo convencional y un gemelo digital no es trivial: reside en el acoplamiento bidireccional entre el sistema físico y su contraparte virtual, que confiere al segundo capacidad de actualización permanente </w:t>
      </w:r>
      <w:r>
        <w:t>(Wright &amp; Davidson, 2020)</w:t>
      </w:r>
      <w:r>
        <w:t>.</w:t>
      </w:r>
    </w:p>
    <w:p>
      <w:r>
        <w:t xml:space="preserve">La aplicación de este paradigma a los sistemas naturales constituye un giro reciente y de alcance considerable. Blair (2021) sostiene que los gemelos digitales del medio ambiente natural representan una oportunidad singular, pero advierte que su construcción exige combinar la herencia de comprensión de los modelos de proceso con nuevos enfoques de análisis de datos y aprendizaje automático </w:t>
      </w:r>
      <w:r>
        <w:t>(Blair &amp; G. S, 2021)</w:t>
      </w:r>
      <w:r>
        <w:t xml:space="preserve">. La ecología ha comenzado a adoptar el concepto como una forma de fusión dinámica entre modelos y datos, si bien persisten limitaciones inherentes que conviene explicitar para no generar expectativas desmedidas entre modeladores, investigadores y responsables de política </w:t>
      </w:r>
      <w:r>
        <w:t>(de Koning et al., 2023)</w:t>
      </w:r>
      <w:r>
        <w:t>.</w:t>
      </w:r>
    </w:p>
    <w:p>
      <w:r>
        <w:t xml:space="preserve">En el ámbito de los ecosistemas acuáticos y costeros, el interés es creciente. La iniciativa Digital Twin Earth ha desarrollado emuladores basados en operadores neuronales informados por la física para predecir niveles del mar en regiones costeras, logrando aceleraciones superiores a cuarenta veces respecto de los modelos numéricos deterministas </w:t>
      </w:r>
      <w:r>
        <w:t>(Jiang et al., 2021)</w:t>
      </w:r>
      <w:r>
        <w:t xml:space="preserve">. Tzachor et al. (2023) sostienen que los gemelos digitales pueden constituir un peldaño hacia la sostenibilidad oceánica, aunque advierten sobre los riesgos éticos e incertidumbres asociados a la representación digital de los servicios ecosistémicos marinos </w:t>
      </w:r>
      <w:r>
        <w:t>(Tzachor et al et al., 2023)</w:t>
      </w:r>
      <w:r>
        <w:t xml:space="preserve">. Aguzzi et al. (2025) demuestran que las plataformas robóticas pueden generar datos de alta resolución para el monitoreo marino, pero señalan que persisten desafíos para lograr cobertura espacial adecuada, continuidad temporal y representatividad ecológica </w:t>
      </w:r>
      <w:r>
        <w:t>(Aguzzi et al et al., 2025)</w:t>
      </w:r>
      <w:r>
        <w:t>.</w:t>
      </w:r>
    </w:p>
    <w:p>
      <w:r>
        <w:t xml:space="preserve">Los humedales, y en particular los ecosistemas de manglar, constituyen un caso de aplicación especialmente pertinente. Lu et al. (2026) exploran el concepto de gemelos digitales de humedales y señalan que el estado del ecosistema y su dinámica bajo escenarios futuros resultan esenciales para que las partes interesadas realicen una gestión proactiva que conserve los ecosistemas y apoye su restauración </w:t>
      </w:r>
      <w:r>
        <w:t>(Lu et al et al., 2026)</w:t>
      </w:r>
      <w:r>
        <w:t xml:space="preserve">. La restauración hidrológica de humedales costeros, en concreto, ha recibido un impulso renovado a partir del carbono azul: Twomey et al. (2024) advierten que las funciones y procesos ecosistémicos influidos por el régimen hidrológico determinan servicios como el hábitat, la calidad del agua, la captura de carbono y la protección costera, pero que las guías para la restauración hidrológica siguen siendo limitadas y frecuentemente restringidas a regiones o riesgos particulares </w:t>
      </w:r>
      <w:r>
        <w:t>(Twomey et al et al., 2024)</w:t>
      </w:r>
      <w:r>
        <w:t xml:space="preserve">. Los modelos existentes enfrentan además una limitación de transferibilidad: sus capacidades predictivas quedan acotadas a las condiciones específicas de los datos con que fueron construidos </w:t>
      </w:r>
      <w:r>
        <w:t>(Twomey et al et al., 2024)</w:t>
      </w:r>
      <w:r>
        <w:t>.</w:t>
      </w:r>
    </w:p>
    <w:p>
      <w:r>
        <w:t xml:space="preserve">La teledetección y el aprendizaje automático han ampliado de manera sustancial la capacidad de monitoreo de estos ecosistemas. Guo et al. (2017) revisan los temas de investigación en teledetección de humedales —clasificación, biodiversidad, estimación de biomasa, calidad del agua, bosque de manglar y ascenso del nivel del mar— y documentan el avance de las técnicas disponibles </w:t>
      </w:r>
      <w:r>
        <w:t>(Guo et al et al., 2017)</w:t>
      </w:r>
      <w:r>
        <w:t xml:space="preserve">. Jafarzadeh et al. (2022), en un metaanálisis de tres décadas, sintetizan las mejores prácticas para la gestión ambiental, la restauración y la conservación de humedales a partir de la combinación de sensores remotos y aprendizaje automático </w:t>
      </w:r>
      <w:r>
        <w:t>(Jafarzadeh et al et al., 2022)</w:t>
      </w:r>
      <w:r>
        <w:t xml:space="preserve">. Persisten, no obstante, sesgos y vacíos sistemáticos: Meyer et al. (2016) demuestran que la aplicación generalizada de la información de ocurrencia de especies está limitada por vacíos, incertidumbres y sesgos en las dimensiones taxonómica, espacial y temporal </w:t>
      </w:r>
      <w:r>
        <w:t>(Meyer et al et al., 2016)</w:t>
      </w:r>
      <w:r>
        <w:t xml:space="preserve">, y Mollenhauer et al. (2018) evidencian que la representatividad geográfica de las infraestructuras de monitoreo ambiental a largo plazo constituye una brecha crítica en el panorama europeo de investigación </w:t>
      </w:r>
      <w:r>
        <w:t>(Mollenhauer et al et al., 2018)</w:t>
      </w:r>
      <w:r>
        <w:t>.</w:t>
      </w:r>
    </w:p>
    <w:p>
      <w:r>
        <w:t xml:space="preserve">La incertidumbre asociada a estas proyecciones merece atención explícita. Buffington et al. (2021) incorporan la incertidumbre en las proyecciones de elevación de humedales mareales y acumulación de carbono bajo escenarios de ascenso del nivel del mar, demostrando que tanto los escenarios de salinidad como las funciones de productividad resultan determinantes para proyectar cómo puede cambiar la captura de carbono </w:t>
      </w:r>
      <w:r>
        <w:t>(Buffington et al et al., 2021)</w:t>
      </w:r>
      <w:r>
        <w:t>. Este hallazgo es directamente relevante para cualquier sistema que aspire a informar decisiones de restauración.</w:t>
      </w:r>
    </w:p>
    <w:p>
      <w:r>
        <w:t xml:space="preserve">Sobre la base de estos antecedentes, el presente trabajo aborda tres vacíos concretos. Primero, los gemelos digitales ecológicos documentados se concentran en ecosistemas marinos, urbanos o agrícolas, con escasa atención a los humedales costeros de manglar del Pacífico suroriental. Segundo, la literatura sobre restauración hidrológica de humedales costeros reconoce explícitamente la ausencia de guías transferibles y la dependencia de las proyecciones respecto de las condiciones locales de calibración </w:t>
      </w:r>
      <w:r>
        <w:t>(Twomey et al et al., 2024)</w:t>
      </w:r>
      <w:r>
        <w:t>. Tercero, las implementaciones existentes rara vez explicitan la separación entre la porción empírica y la porción simulada de sus datos, lo que dificulta auditar el fundamento de sus resultados.</w:t>
      </w:r>
    </w:p>
    <w:p>
      <w:r>
        <w:t xml:space="preserve">Para abordarlos se construyó un </w:t>
      </w:r>
      <w:r>
        <w:rPr>
          <w:b/>
        </w:rPr>
        <w:t>gemelo digital</w:t>
      </w:r>
      <w:r>
        <w:t xml:space="preserve"> del Santuario Nacional Los Manglares de Tumbes (SNLMT), en el norte del Perú, y se aplicó la metodología </w:t>
      </w:r>
      <w:r>
        <w:rPr>
          <w:b/>
        </w:rPr>
        <w:t>CRISP-DM</w:t>
      </w:r>
      <w:r>
        <w:t xml:space="preserve"> para estructurar el proceso analítico en seis fases trazables: comprensión del negocio, comprensión de los datos, preparación, modelado, evaluación y despliegue </w:t>
      </w:r>
      <w:r>
        <w:t>(Qamsane et al et al., 2021)</w:t>
      </w:r>
      <w:r>
        <w:t>. La hipótesis de trabajo postula que la restauración hidrológica puede incrementar la retención de carbono azul en al menos un 25 % hacia 2050 respecto de la línea base.</w:t>
      </w:r>
    </w:p>
    <w:p>
      <w:r>
        <w:t xml:space="preserve">El aporte del trabajo es triple. En primer lugar, se documenta un dataset híbrido con trazabilidad explícita de sus componentes reales y simulados, anclado en literatura abierta sobre el SNLMT. En segundo lugar, se comparan cinco algoritmos bajo un protocolo de evaluación que combina validación cruzada, pruebas de significancia estadística y remuestreo bootstrap, siguiendo la práctica establecida para la comparación rigurosa de modelos </w:t>
      </w:r>
      <w:r>
        <w:t>(de Koning et al., 2023)</w:t>
      </w:r>
      <w:r>
        <w:t xml:space="preserve">. En tercer lugar, se entrega un panel interactivo que expone la interpretabilidad como capacidad de primera clase, atendiendo a la recomendación de centrar el desarrollo de gemelos digitales ambientales en resultados significativos para los usuarios antes que en capacidades técnicas aisladas </w:t>
      </w:r>
      <w:r>
        <w:t>(Durden, 2025)</w:t>
      </w:r>
      <w:r>
        <w:t>.</w:t>
      </w:r>
    </w:p>
    <w:p>
      <w:r>
        <w:t>El desarrollo se sostuvo sobre un repositorio con control de versiones distributivo que acumuló 39 confirmaciones entre el 31 de agosto y el 29 de septiembre de 2026. Esta disciplina de versionado no constituye un detalle instrumental: cada hallazgo de revisión de calidad, cada corrección y cada incorporación de funcionalidad quedó registrada con un mensaje descriptivo que permite reconstruir la evolución del sistema y auditar el origen de cualquier decisión de diseño. La planificación de incidencias sobre plataforma de seguimiento se proyectó como complemento, aunque su implementación completa excedió el alcance temporal del entregable.</w:t>
      </w:r>
    </w:p>
    <w:p>
      <w:pPr>
        <w:pStyle w:val="Heading1"/>
      </w:pPr>
      <w:r>
        <w:t>Marco teórico</w:t>
      </w:r>
    </w:p>
    <w:p>
      <w:pPr>
        <w:pStyle w:val="Heading2"/>
      </w:pPr>
      <w:r>
        <w:t>Del modelo al gemelo digital</w:t>
      </w:r>
    </w:p>
    <w:p>
      <w:r>
        <w:t xml:space="preserve">La distinción conceptual entre un modelo y un gemelo digital resulta fundacional para este trabajo. Wright y Davidson (2020) argumentan que la diferencia no estriba en la sofisticación del modelo subyacente sino en el acoplamiento: mientras un modelo convencional representa un sistema de forma estática o unidireccional, un gemelo digital mantiene un vínculo bidireccional con su contraparte física, actualizándose de manera continua a partir de datos observados </w:t>
      </w:r>
      <w:r>
        <w:t>(Wright &amp; Davidson, 2020)</w:t>
      </w:r>
      <w:r>
        <w:t>.</w:t>
      </w:r>
    </w:p>
    <w:p>
      <w:r>
        <w:t xml:space="preserve">Rasheed et al. (2020), tras revisar la literatura, proponen una definición operativa: un gemelo digital es una representación virtual de un activo físico habilitada mediante datos y simuladores para la predicción, optimización y monitoreo en tiempo real </w:t>
      </w:r>
      <w:r>
        <w:t>(Rasheed et al et al., 2020)</w:t>
      </w:r>
      <w:r>
        <w:t xml:space="preserve">. Verdouw et al. (2021) enfatizan la dimensión temporal al describirlo como una representación dinámica de un objeto real que refleja sus estados y comportamiento a lo largo de su ciclo de vida </w:t>
      </w:r>
      <w:r>
        <w:t>(Verdouw et al et al., 2021)</w:t>
      </w:r>
      <w:r>
        <w:t>. Ambas formulaciones coinciden en tres elementos constitutivos: una contraparte física, un modelo computacional y un flujo de datos que los mantiene sincronizados.</w:t>
      </w:r>
    </w:p>
    <w:p>
      <w:r>
        <w:t xml:space="preserve">Durão et al. (2018) sistematizan los requisitos que la literatura impone al concepto, estableciendo que su adopción industrial depende de la capacidad de representar no solo la geometría y la estructura del activo, sino también su comportamiento operativo bajo condiciones cambiantes </w:t>
      </w:r>
      <w:r>
        <w:t>(Durão et al., 2018)</w:t>
      </w:r>
      <w:r>
        <w:t>. Esta exigencia traslada directamente al ámbito ambiental: un gemelo digital de un ecosistema debe representar su dinámica, no solo su estado.</w:t>
      </w:r>
    </w:p>
    <w:p>
      <w:pPr>
        <w:pStyle w:val="Heading2"/>
      </w:pPr>
      <w:r>
        <w:t>Arquitecturas y marcos de implementación</w:t>
      </w:r>
    </w:p>
    <w:p>
      <w:r>
        <w:t xml:space="preserve">La construcción de gemelos digitales a escala ecosistémica requiere arquitecturas capaces de integrar fuentes heterogéneas. Nativi et al. (2021) describen el ecosistema digital desarrollado en el marco de la iniciativa Destination Earth, y sostienen que la discusión comprehensiva de las múltiples dimensiones y desafíos de los ecosistemas digitales cubre un vacío importante en el conocimiento actual </w:t>
      </w:r>
      <w:r>
        <w:t>(Nativi et al et al., 2021)</w:t>
      </w:r>
      <w:r>
        <w:t>.</w:t>
      </w:r>
    </w:p>
    <w:p>
      <w:r>
        <w:t xml:space="preserve">En el ámbito de la implementación técnica, Picone et al. (2023) proponen una arquitectura flexible y modular para gemelos digitales en el borde, orientada a reducir la latencia mediante el procesamiento local de datos </w:t>
      </w:r>
      <w:r>
        <w:t>(Picone et al et al., 2023)</w:t>
      </w:r>
      <w:r>
        <w:t xml:space="preserve">. Raes et al. (2022) presentan el marco DUET, destinado a construir gemelos digitales interoperables y confiables para ciudades inteligentes, atendiendo a la necesidad de que sistemas desarrollados por actores distintos puedan intercambiar información </w:t>
      </w:r>
      <w:r>
        <w:t>(Raes et al et al., 2022)</w:t>
      </w:r>
      <w:r>
        <w:t>. La interoperabilidad, señalan, es condición para evitar la fragmentación en silos de datos.</w:t>
      </w:r>
    </w:p>
    <w:p>
      <w:r>
        <w:t xml:space="preserve">Chen et al. (2025) abordan el problema de la construcción federada de gemelos digitales mediante sensado distribuido, proponiendo un esquema de optimización en línea basado en teoría de juegos. Advierten, no obstante, que el número de sensores asociados a cada entidad es limitado y que el costo acumulado queda restringido por esa restricción </w:t>
      </w:r>
      <w:r>
        <w:t>(Chen et al., 2025)</w:t>
      </w:r>
      <w:r>
        <w:t>. Esta observación es relevante para cualquier despliegue ambiental, donde los recursos de instrumentación son inherentemente acotados.</w:t>
      </w:r>
    </w:p>
    <w:p>
      <w:r>
        <w:t xml:space="preserve">A escala de ecosistema, Khan et al. (2025) proponen TwinEco, un marco unificado para gemelos digitales dinámicos orientados por datos en ecología, con principios de diseño aplicables a ecosistemas urbanos, agrícolas y naturales </w:t>
      </w:r>
      <w:r>
        <w:t>(Khan et al et al., 2025)</w:t>
      </w:r>
      <w:r>
        <w:t xml:space="preserve">. Qamsane et al. (2021) aportan una metodología estructurada para desarrollar e implementar soluciones de gemelos digitales, con fases explícitas de definición de alcance, modelado y validación </w:t>
      </w:r>
      <w:r>
        <w:t>(Qamsane et al et al., 2021)</w:t>
      </w:r>
      <w:r>
        <w:t>. Esta estructura metodológica guarda paralelo con el enfoque CRISP-DM adoptado en el presente trabajo.</w:t>
      </w:r>
    </w:p>
    <w:p>
      <w:pPr>
        <w:pStyle w:val="Heading2"/>
      </w:pPr>
      <w:r>
        <w:t>Modelado, emulación y física informada</w:t>
      </w:r>
    </w:p>
    <w:p>
      <w:r>
        <w:t xml:space="preserve">La tensión entre fidelidad física y costo computacional define buena parte de la investigación en este campo. Jiang et al. (2021) desarrollan el primer gemelo digital de las costas terrestres, empleando operadores neuronales informados por la física como sustitutos de modelos deterministas de inundación costera. Su emulador predice la altura de la superficie del mar con precisión y alcanza aceleraciones de hasta cuarenta y cinco veces respecto del modelo numérico de referencia, habilitando la ejecución eficiente de múltiples escenarios para la toma de decisiones y la cuantificación de incertidumbre </w:t>
      </w:r>
      <w:r>
        <w:t>(Jiang et al., 2021)</w:t>
      </w:r>
      <w:r>
        <w:t>.</w:t>
      </w:r>
    </w:p>
    <w:p>
      <w:r>
        <w:t xml:space="preserve">Yang et al. (2024) examinan las redes neuronales informadas por la física desde la perspectiva del gemelo digital, y señalan que muchos enfoques restringen su alcance al uso de datos guía dispersos —entre el uno y el diez por ciento de los puntos de la malla—, lo que constituye un aprovechamiento ineficiente de los resultados de simulación disponibles </w:t>
      </w:r>
      <w:r>
        <w:t>(Yang et al., 2024)</w:t>
      </w:r>
      <w:r>
        <w:t xml:space="preserve">. Zia et al. (2025) proponen la incorporación de bloques con codificación física en arquitecturas de redes residuales, y advierten que los conjuntos de datos operacionales presentan habitualmente valores faltantes originados por cortes de energía, fallas de sensores o condiciones climáticas adversas </w:t>
      </w:r>
      <w:r>
        <w:t>(Zia et al et al., 2025)</w:t>
      </w:r>
      <w:r>
        <w:t xml:space="preserve">. Dilip (2024) aplica el mismo principio a pavimentos asfálticos, construyendo un gemelo digital térmico mediante redes neuronales informadas por la física </w:t>
      </w:r>
      <w:r>
        <w:t>(Dilip, 2024)</w:t>
      </w:r>
      <w:r>
        <w:t>.</w:t>
      </w:r>
    </w:p>
    <w:p>
      <w:r>
        <w:t xml:space="preserve">Reichstein et al. (2019) enmarcan esta convergencia en un contexto más amplio: el aprendizaje profundo y la comprensión de procesos deben integrarse para el avance de la ciencia del sistema terrestre orientada por datos, superando la oposición entre aproximaciones puramente estadísticas y puramente mecanicistas </w:t>
      </w:r>
      <w:r>
        <w:t>(Reichstein et al et al., 2019)</w:t>
      </w:r>
      <w:r>
        <w:t>.</w:t>
      </w:r>
    </w:p>
    <w:p>
      <w:pPr>
        <w:pStyle w:val="Heading2"/>
      </w:pPr>
      <w:r>
        <w:t>Datos, sensores e incertidumbre</w:t>
      </w:r>
    </w:p>
    <w:p>
      <w:r>
        <w:t xml:space="preserve">La calidad de un gemelo digital está acotada por la calidad de sus datos. Guo et al. (2017) revisan la teledetección de humedales y documentan que la fotografía aérea ofrece ventajas en resolución espacial y tiempo de adquisición, aunque su empleo se restringe habitualmente a áreas costeras estrechas o riberas debido a la cobertura limitada </w:t>
      </w:r>
      <w:r>
        <w:t>(Guo et al et al., 2017)</w:t>
      </w:r>
      <w:r>
        <w:t xml:space="preserve">. Jafarzadeh et al. (2022), mediante un metaanálisis de tres décadas, sintetizan las prácticas establecidas para el monitoreo de humedales y destacan que los hallazgos resultan esenciales para determinar las mejores prácticas de gestión ambiental, restauración y conservación </w:t>
      </w:r>
      <w:r>
        <w:t>(Jafarzadeh et al et al., 2022)</w:t>
      </w:r>
      <w:r>
        <w:t>.</w:t>
      </w:r>
    </w:p>
    <w:p>
      <w:r>
        <w:t xml:space="preserve">Los sesgos en los datos ecológicos constituyen una limitación estructural. Meyer et al. (2015) establecen prioridades globales para una base informativa efectiva de la distribución de la biodiversidad </w:t>
      </w:r>
      <w:r>
        <w:t>(Meyer et al et al., 2015)</w:t>
      </w:r>
      <w:r>
        <w:t xml:space="preserve">, y Meyer et al. (2016) demuestran que la aplicación generalizada de la información de ocurrencia está limitada por vacíos, incertidumbres y sesgos en las dimensiones taxonómica, espacial y temporal </w:t>
      </w:r>
      <w:r>
        <w:t>(Meyer et al et al., 2016)</w:t>
      </w:r>
      <w:r>
        <w:t xml:space="preserve">. Mollenhauer et al. (2018) evalúan la representatividad geográfica de las infraestructuras de monitoreo ambiental de largo plazo en Europa y concluyen que subsiste una brecha crítica en el panorama de las infraestructuras de investigación </w:t>
      </w:r>
      <w:r>
        <w:t>(Mollenhauer et al et al., 2018)</w:t>
      </w:r>
      <w:r>
        <w:t xml:space="preserve">. Jeffery et al. (2021) extienden la advertencia al plano de las infraestructuras de datos, sosteniendo que la convergencia entre repositorios y sistemas aún no está resuelta </w:t>
      </w:r>
      <w:r>
        <w:t>(Jeffery et al., 2021)</w:t>
      </w:r>
      <w:r>
        <w:t>.</w:t>
      </w:r>
    </w:p>
    <w:p>
      <w:r>
        <w:t xml:space="preserve">La incertidumbre debe por tanto propagarse explícitamente. Buffington et al. (2021) incorporan la incertidumbre en las proyecciones de elevación de humedales mareales y acumulación de carbono bajo escenarios de ascenso del nivel del mar, y demuestran que tanto los escenarios de salinidad como las funciones de productividad resultan determinantes en la proyección de cómo puede cambiar la captura de carbono </w:t>
      </w:r>
      <w:r>
        <w:t>(Buffington et al et al., 2021)</w:t>
      </w:r>
      <w:r>
        <w:t xml:space="preserve">. Cabrera et al. (2021), al evaluar el potencial de los teléfonos inteligentes como estaciones meteorológicas urbanas, advierten que sus resultados representan el comportamiento de un único modelo de dispositivo, lo que ilustra la necesidad de acotar el alcance de las conclusiones al dominio efectivamente observado </w:t>
      </w:r>
      <w:r>
        <w:t>(Cabrera et al et al., 2021)</w:t>
      </w:r>
      <w:r>
        <w:t>.</w:t>
      </w:r>
    </w:p>
    <w:p>
      <w:pPr>
        <w:pStyle w:val="Heading2"/>
      </w:pPr>
      <w:r>
        <w:t>Aplicaciones ambientales y gobernanza</w:t>
      </w:r>
    </w:p>
    <w:p>
      <w:r>
        <w:t xml:space="preserve">La literatura reciente insiste en que el valor de un gemelo digital ambiental se dirime en su utilidad para la decisión, no en su sofisticación técnica. Durden (2025) identifica cuatro desafíos principales que condicionan la generación de productos significativos para las necesidades de los usuarios y sostiene que el desarrollo de casos de uso debe centrarse explícitamente en esos resultados </w:t>
      </w:r>
      <w:r>
        <w:t>(Durden, 2025)</w:t>
      </w:r>
      <w:r>
        <w:t xml:space="preserve">. La autora señala además que, aunque los responsables de decisiones son los usuarios más evidentes, la incorporación de otras partes interesadas amplía la capacidad de decisión colaborativa y de comunicación </w:t>
      </w:r>
      <w:r>
        <w:t>(Durden, 2025)</w:t>
      </w:r>
      <w:r>
        <w:t>.</w:t>
      </w:r>
    </w:p>
    <w:p>
      <w:r>
        <w:t xml:space="preserve">La calidad de los datos disponibles para estos sistemas depende en parte de fuentes no profesionales. Brown y Williams (2019) sostienen que la contrastación de hipótesis ecológicas en el paradigma confirmatorio resulta enteramente posible con proyectos de ciencia ciudadana de gran escala basados en internet, siempre que se diseñen específicamente con ese propósito, aunque señalan que tales proyectos son escasos </w:t>
      </w:r>
      <w:r>
        <w:t>(Brown &amp; Williams, 2019)</w:t>
      </w:r>
      <w:r>
        <w:t>. Esta observación amplía el universo de datos potencialmente integrables en un gemelo digital ecológico, al tiempo que advierte sobre la exigencia de un diseño metodológico deliberado para que tales observaciones resulten utilizables.</w:t>
      </w:r>
    </w:p>
    <w:p>
      <w:r>
        <w:t xml:space="preserve">De Koning et al. (2023) advierten que la adopción del concepto en ecología debe acompañarse de una discusión franca sobre sus limitaciones inherentes, para evitar expectativas que puedan desorientar a modeladores, investigadores, responsables de política y gestores de recursos naturales </w:t>
      </w:r>
      <w:r>
        <w:t>(de Koning et al., 2023)</w:t>
      </w:r>
      <w:r>
        <w:t xml:space="preserve">. Tzachor et al. (2023) extienden esa advertencia al dominio oceánico, anticipando preocupaciones éticas e incertidumbres en la representación digital de los servicios ecosistémicos marinos </w:t>
      </w:r>
      <w:r>
        <w:t>(Tzachor et al et al., 2023)</w:t>
      </w:r>
      <w:r>
        <w:t>.</w:t>
      </w:r>
    </w:p>
    <w:p>
      <w:r>
        <w:t xml:space="preserve">En el ámbito de la gobernanza, Haraguchi et al. (2024) examinan tanto los beneficios como las limitaciones de los gemelos digitales urbanos, explorando las áreas específicas donde su impacto resulta efectivo y aquellas donde es acotado </w:t>
      </w:r>
      <w:r>
        <w:t>(Haraguchi et al et al., 2024)</w:t>
      </w:r>
      <w:r>
        <w:t xml:space="preserve">. Hananto y Veza (2025) proponen un marco de gobernanza para sistemas inteligentes de gemelos digitales orientado a alinear estándares y prácticas </w:t>
      </w:r>
      <w:r>
        <w:t>(Hananto &amp; Veza, 2025)</w:t>
      </w:r>
      <w:r>
        <w:t xml:space="preserve">, mientras que DeVries (2024) aborda los desafíos de privacidad y soberanía de datos que emergen de la integración de estas tecnologías en ecosistemas urbanos </w:t>
      </w:r>
      <w:r>
        <w:t>(DeVries, 2024)</w:t>
      </w:r>
      <w:r>
        <w:t xml:space="preserve">. Garske et al. (2024) analizan el papel de la gobernanza europea de datos en la transición sostenible </w:t>
      </w:r>
      <w:r>
        <w:t>(Garske et al et al., 2024)</w:t>
      </w:r>
      <w:r>
        <w:t>.</w:t>
      </w:r>
    </w:p>
    <w:p>
      <w:r>
        <w:t xml:space="preserve">Aplicaciones específicas ilustran el rango del paradigma. Henriksen et al. (2023) desarrollan un gemelo digital para adaptación al cambio climático, gestión del agua y reducción del riesgo de desastres, señalando que la profundidad del nivel freático constituye la variable determinante de las emisiones de carbono en suelos de turbera, y que el conocimiento de la variabilidad hidrológica es decisivo para guiar la restauración de turberas drenadas </w:t>
      </w:r>
      <w:r>
        <w:t>(Henriksen et al et al., 2023)</w:t>
      </w:r>
      <w:r>
        <w:t xml:space="preserve">. Rodríguez-Alonso et al. (2024) presentan una plataforma de gemelo digital para plantas de tratamiento de agua basada en arquitectura de microservicios, orientada a optimizar operación y mantenimiento mediante aprendizaje automático y simulación </w:t>
      </w:r>
      <w:r>
        <w:t>(Rodríguez-Alonso et al., 2024)</w:t>
      </w:r>
      <w:r>
        <w:t xml:space="preserve">. Alenezi y Alabaiadly (2026) revisan la aplicación de gemelos digitales y computación en el borde a sistemas hídricos pequeños y fuera de red </w:t>
      </w:r>
      <w:r>
        <w:t>(Alenezi &amp; Alabaiadly, 2026)</w:t>
      </w:r>
      <w:r>
        <w:t xml:space="preserve">. Verdouw et al. (2021) documentan su adopción en agricultura inteligente, señalando que los estudios en ese dominio son relativamente escasos en comparación con otros sectores </w:t>
      </w:r>
      <w:r>
        <w:t>(Verdouw et al et al., 2021)</w:t>
      </w:r>
      <w:r>
        <w:t>.</w:t>
      </w:r>
    </w:p>
    <w:p>
      <w:pPr>
        <w:pStyle w:val="Heading2"/>
      </w:pPr>
      <w:r>
        <w:t>Humedales costeros y carbono azul</w:t>
      </w:r>
    </w:p>
    <w:p>
      <w:r>
        <w:t xml:space="preserve">Los humedales costeros constituyen un caso de aplicación con características propias. Twomey et al. (2024) sostienen que la restauración orientada al carbono azul proporciona un impulso renovado a la recuperación de planicies costeras hidrológicamente modificadas, pero advierten que las guías para la restauración hidrológica siguen siendo limitadas y frecuentemente enfocadas en regiones, actividades o riesgos particulares </w:t>
      </w:r>
      <w:r>
        <w:t>(Twomey et al et al., 2024)</w:t>
      </w:r>
      <w:r>
        <w:t xml:space="preserve">. Subrayan además que las funciones y procesos ecosistémicos influidos por el régimen hidrológico determinan servicios como la provisión de hábitat, la mejora de la calidad del agua, la captura de carbono y la protección costera </w:t>
      </w:r>
      <w:r>
        <w:t>(Twomey et al et al., 2024)</w:t>
      </w:r>
      <w:r>
        <w:t>.</w:t>
      </w:r>
    </w:p>
    <w:p>
      <w:r>
        <w:t xml:space="preserve">La transferibilidad de los modelos constituye una limitación explícitamente reconocida. Twomey et al. (2024) señalan que los modelos pueden no ser transferibles a otros sitios y que su capacidad predictiva queda restringida a las condiciones específicas de los datos empleados en su construcción </w:t>
      </w:r>
      <w:r>
        <w:t>(Twomey et al et al., 2024)</w:t>
      </w:r>
      <w:r>
        <w:t xml:space="preserve">. En relación con el ascenso del nivel del mar, identifican que la incertidumbre en los datos de elevación y en los cambios de la superficie del suelo a lo largo del tiempo son limitaciones clave para muchos modelos, pese a ser parámetros determinantes para proyectar los impactos sobre sitios de restauración </w:t>
      </w:r>
      <w:r>
        <w:t>(Twomey et al et al., 2024)</w:t>
      </w:r>
      <w:r>
        <w:t>.</w:t>
      </w:r>
    </w:p>
    <w:p>
      <w:r>
        <w:t xml:space="preserve">Lu et al. (2026) exploran específicamente el concepto de gemelos digitales de humedales para el monitoreo y la gestión de ecosistemas, señalando que el estado y la dinámica del ecosistema bajo escenarios futuros resultan esenciales para que las partes interesadas realicen una gestión proactiva orientada a conservar el ecosistema y apoyar su restauración </w:t>
      </w:r>
      <w:r>
        <w:t>(Lu et al et al., 2026)</w:t>
      </w:r>
      <w:r>
        <w:t xml:space="preserve">. Observan asimismo que los humedales han sufrido pérdidas y degradación significativas a escala global durante los últimos siglos por perturbaciones humanas y cambio climático </w:t>
      </w:r>
      <w:r>
        <w:t>(Lu et al et al., 2026)</w:t>
      </w:r>
      <w:r>
        <w:t>.</w:t>
      </w:r>
    </w:p>
    <w:p>
      <w:pPr>
        <w:pStyle w:val="Heading2"/>
      </w:pPr>
      <w:r>
        <w:t>Metodología CRISP-DM</w:t>
      </w:r>
    </w:p>
    <w:p>
      <w:r>
        <w:t>CRISP-DM —</w:t>
      </w:r>
      <w:r>
        <w:rPr>
          <w:i/>
        </w:rPr>
        <w:t>Cross-Industry Standard Process for Data Mining</w:t>
      </w:r>
      <w:r>
        <w:t>— organiza un proyecto analítico en seis fases iterativas: comprensión del negocio, comprensión de los datos, preparación, modelado, evaluación y despliegue. A diferencia de aproximaciones centradas exclusivamente en el algoritmo, el estándar exige que cada artefacto analítico sea trazable hasta un objetivo de negocio explícito y que la evaluación contemple criterios de éxito definidos con anterioridad.</w:t>
      </w:r>
    </w:p>
    <w:p>
      <w:r>
        <w:t xml:space="preserve">La metodología guarda paralelo con los marcos estructurados propuestos para el desarrollo de gemelos digitales. Qamsane et al. (2021) establecen fases explícitas de definición de alcance, modelado y validación en su metodología de implementación </w:t>
      </w:r>
      <w:r>
        <w:t>(Qamsane et al et al., 2021)</w:t>
      </w:r>
      <w:r>
        <w:t xml:space="preserve">, y Durden (2025) insiste en que el desarrollo de casos de uso debe partir de las necesidades del usuario y no de las capacidades técnicas disponibles </w:t>
      </w:r>
      <w:r>
        <w:t>(Durden, 2025)</w:t>
      </w:r>
      <w:r>
        <w:t>. El presente trabajo adopta el marco CRISP-DM y documenta cada fase con sus productos verificables.</w:t>
      </w:r>
    </w:p>
    <w:p>
      <w:pPr>
        <w:pStyle w:val="Heading1"/>
      </w:pPr>
      <w:r>
        <w:t>Metodología</w:t>
      </w:r>
    </w:p>
    <w:p>
      <w:pPr>
        <w:pStyle w:val="Heading2"/>
      </w:pPr>
      <w:r>
        <w:t>Área de estudio y fuentes de datos</w:t>
      </w:r>
    </w:p>
    <w:p>
      <w:r>
        <w:t>El estudio se desarrolló sobre el Santuario Nacional Los Manglares de Tumbes (SNLMT), situado en el distrito de Zarumilla, departamento de Tumbes, Perú. El Santuario abarca 2 972 ha, de las cuales 1 779,8 ha corresponden a cobertura de manglar (68,06 %), 243 ha a bosque seco y el resto a cuerpos de agua y zonas salitrosas.</w:t>
      </w:r>
    </w:p>
    <w:p>
      <w:r>
        <w:t xml:space="preserve">La </w:t>
      </w:r>
      <w:r>
        <w:rPr>
          <w:b/>
        </w:rPr>
        <w:t>Tabla 1</w:t>
      </w:r>
      <w:r>
        <w:t xml:space="preserve"> consolida las siete clases de cobertura identificadas con sus rangos de NDVI derivados de imágenes Sentinel-2 y su extensión estimada.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clase_cobertura</w:t>
            </w:r>
          </w:p>
        </w:tc>
        <w:tc>
          <w:tcPr>
            <w:tcW w:type="dxa" w:w="1440"/>
          </w:tcPr>
          <w:p>
            <w:r>
              <w:rPr>
                <w:b/>
              </w:rPr>
              <w:t>ndvi_min</w:t>
            </w:r>
          </w:p>
        </w:tc>
        <w:tc>
          <w:tcPr>
            <w:tcW w:type="dxa" w:w="1440"/>
          </w:tcPr>
          <w:p>
            <w:r>
              <w:rPr>
                <w:b/>
              </w:rPr>
              <w:t>ndvi_max</w:t>
            </w:r>
          </w:p>
        </w:tc>
        <w:tc>
          <w:tcPr>
            <w:tcW w:type="dxa" w:w="1440"/>
          </w:tcPr>
          <w:p>
            <w:r>
              <w:rPr>
                <w:b/>
              </w:rPr>
              <w:t>ndvi_medio</w:t>
            </w:r>
          </w:p>
        </w:tc>
        <w:tc>
          <w:tcPr>
            <w:tcW w:type="dxa" w:w="1440"/>
          </w:tcPr>
          <w:p>
            <w:r>
              <w:rPr>
                <w:b/>
              </w:rPr>
              <w:t>area_ha</w:t>
            </w:r>
          </w:p>
        </w:tc>
        <w:tc>
          <w:tcPr>
            <w:tcW w:type="dxa" w:w="1440"/>
          </w:tcPr>
          <w:p>
            <w:r>
              <w:rPr>
                <w:b/>
              </w:rPr>
              <w:t>es_manglar</w:t>
            </w:r>
          </w:p>
        </w:tc>
      </w:tr>
      <w:tr>
        <w:tc>
          <w:tcPr>
            <w:tcW w:type="dxa" w:w="1440"/>
          </w:tcPr>
          <w:p>
            <w:r>
              <w:t>cuerpos_agua</w:t>
            </w:r>
          </w:p>
        </w:tc>
        <w:tc>
          <w:tcPr>
            <w:tcW w:type="dxa" w:w="1440"/>
          </w:tcPr>
          <w:p>
            <w:r>
              <w:t>-0.471</w:t>
            </w:r>
          </w:p>
        </w:tc>
        <w:tc>
          <w:tcPr>
            <w:tcW w:type="dxa" w:w="1440"/>
          </w:tcPr>
          <w:p>
            <w:r>
              <w:t>0.003</w:t>
            </w:r>
          </w:p>
        </w:tc>
        <w:tc>
          <w:tcPr>
            <w:tcW w:type="dxa" w:w="1440"/>
          </w:tcPr>
          <w:p>
            <w:r>
              <w:t>-0.234</w:t>
            </w:r>
          </w:p>
        </w:tc>
        <w:tc>
          <w:tcPr>
            <w:tcW w:type="dxa" w:w="1440"/>
          </w:tcPr>
          <w:p>
            <w:r>
              <w:t>497.22</w:t>
            </w:r>
          </w:p>
        </w:tc>
        <w:tc>
          <w:tcPr>
            <w:tcW w:type="dxa" w:w="1440"/>
          </w:tcPr>
          <w:p>
            <w:r>
              <w:t>False</w:t>
            </w:r>
          </w:p>
        </w:tc>
      </w:tr>
      <w:tr>
        <w:tc>
          <w:tcPr>
            <w:tcW w:type="dxa" w:w="1440"/>
          </w:tcPr>
          <w:p>
            <w:r>
              <w:t>salitrosas_banco_arena</w:t>
            </w:r>
          </w:p>
        </w:tc>
        <w:tc>
          <w:tcPr>
            <w:tcW w:type="dxa" w:w="1440"/>
          </w:tcPr>
          <w:p>
            <w:r>
              <w:t>0.003</w:t>
            </w:r>
          </w:p>
        </w:tc>
        <w:tc>
          <w:tcPr>
            <w:tcW w:type="dxa" w:w="1440"/>
          </w:tcPr>
          <w:p>
            <w:r>
              <w:t>0.27</w:t>
            </w:r>
          </w:p>
        </w:tc>
        <w:tc>
          <w:tcPr>
            <w:tcW w:type="dxa" w:w="1440"/>
          </w:tcPr>
          <w:p>
            <w:r>
              <w:t>0.1365</w:t>
            </w:r>
          </w:p>
        </w:tc>
        <w:tc>
          <w:tcPr>
            <w:tcW w:type="dxa" w:w="1440"/>
          </w:tcPr>
          <w:p>
            <w:r>
              <w:t>452.34</w:t>
            </w:r>
          </w:p>
        </w:tc>
        <w:tc>
          <w:tcPr>
            <w:tcW w:type="dxa" w:w="1440"/>
          </w:tcPr>
          <w:p>
            <w:r>
              <w:t>False</w:t>
            </w:r>
          </w:p>
        </w:tc>
      </w:tr>
      <w:tr>
        <w:tc>
          <w:tcPr>
            <w:tcW w:type="dxa" w:w="1440"/>
          </w:tcPr>
          <w:p>
            <w:r>
              <w:t>bosque_seco_semidenso</w:t>
            </w:r>
          </w:p>
        </w:tc>
        <w:tc>
          <w:tcPr>
            <w:tcW w:type="dxa" w:w="1440"/>
          </w:tcPr>
          <w:p>
            <w:r>
              <w:t>0.27</w:t>
            </w:r>
          </w:p>
        </w:tc>
        <w:tc>
          <w:tcPr>
            <w:tcW w:type="dxa" w:w="1440"/>
          </w:tcPr>
          <w:p>
            <w:r>
              <w:t>0.371</w:t>
            </w:r>
          </w:p>
        </w:tc>
        <w:tc>
          <w:tcPr>
            <w:tcW w:type="dxa" w:w="1440"/>
          </w:tcPr>
          <w:p>
            <w:r>
              <w:t>0.3205</w:t>
            </w:r>
          </w:p>
        </w:tc>
        <w:tc>
          <w:tcPr>
            <w:tcW w:type="dxa" w:w="1440"/>
          </w:tcPr>
          <w:p>
            <w:r>
              <w:t>121.5</w:t>
            </w:r>
          </w:p>
        </w:tc>
        <w:tc>
          <w:tcPr>
            <w:tcW w:type="dxa" w:w="1440"/>
          </w:tcPr>
          <w:p>
            <w:r>
              <w:t>False</w:t>
            </w:r>
          </w:p>
        </w:tc>
      </w:tr>
      <w:tr>
        <w:tc>
          <w:tcPr>
            <w:tcW w:type="dxa" w:w="1440"/>
          </w:tcPr>
          <w:p>
            <w:r>
              <w:t>bosque_seco_denso</w:t>
            </w:r>
          </w:p>
        </w:tc>
        <w:tc>
          <w:tcPr>
            <w:tcW w:type="dxa" w:w="1440"/>
          </w:tcPr>
          <w:p>
            <w:r>
              <w:t>0.371</w:t>
            </w:r>
          </w:p>
        </w:tc>
        <w:tc>
          <w:tcPr>
            <w:tcW w:type="dxa" w:w="1440"/>
          </w:tcPr>
          <w:p>
            <w:r>
              <w:t>0.487</w:t>
            </w:r>
          </w:p>
        </w:tc>
        <w:tc>
          <w:tcPr>
            <w:tcW w:type="dxa" w:w="1440"/>
          </w:tcPr>
          <w:p>
            <w:r>
              <w:t>0.429</w:t>
            </w:r>
          </w:p>
        </w:tc>
        <w:tc>
          <w:tcPr>
            <w:tcW w:type="dxa" w:w="1440"/>
          </w:tcPr>
          <w:p>
            <w:r>
              <w:t>121.5</w:t>
            </w:r>
          </w:p>
        </w:tc>
        <w:tc>
          <w:tcPr>
            <w:tcW w:type="dxa" w:w="1440"/>
          </w:tcPr>
          <w:p>
            <w:r>
              <w:t>False</w:t>
            </w:r>
          </w:p>
        </w:tc>
      </w:tr>
      <w:tr>
        <w:tc>
          <w:tcPr>
            <w:tcW w:type="dxa" w:w="1440"/>
          </w:tcPr>
          <w:p>
            <w:r>
              <w:t>manglar_franja_baja</w:t>
            </w:r>
          </w:p>
        </w:tc>
        <w:tc>
          <w:tcPr>
            <w:tcW w:type="dxa" w:w="1440"/>
          </w:tcPr>
          <w:p>
            <w:r>
              <w:t>0.487</w:t>
            </w:r>
          </w:p>
        </w:tc>
        <w:tc>
          <w:tcPr>
            <w:tcW w:type="dxa" w:w="1440"/>
          </w:tcPr>
          <w:p>
            <w:r>
              <w:t>0.728</w:t>
            </w:r>
          </w:p>
        </w:tc>
        <w:tc>
          <w:tcPr>
            <w:tcW w:type="dxa" w:w="1440"/>
          </w:tcPr>
          <w:p>
            <w:r>
              <w:t>0.6075</w:t>
            </w:r>
          </w:p>
        </w:tc>
        <w:tc>
          <w:tcPr>
            <w:tcW w:type="dxa" w:w="1440"/>
          </w:tcPr>
          <w:p>
            <w:r>
              <w:t>598.9</w:t>
            </w:r>
          </w:p>
        </w:tc>
        <w:tc>
          <w:tcPr>
            <w:tcW w:type="dxa" w:w="1440"/>
          </w:tcPr>
          <w:p>
            <w:r>
              <w:t>True</w:t>
            </w:r>
          </w:p>
        </w:tc>
      </w:tr>
      <w:tr>
        <w:tc>
          <w:tcPr>
            <w:tcW w:type="dxa" w:w="1440"/>
          </w:tcPr>
          <w:p>
            <w:r>
              <w:t>manglar_franja_media</w:t>
            </w:r>
          </w:p>
        </w:tc>
        <w:tc>
          <w:tcPr>
            <w:tcW w:type="dxa" w:w="1440"/>
          </w:tcPr>
          <w:p>
            <w:r>
              <w:t>0.728</w:t>
            </w:r>
          </w:p>
        </w:tc>
        <w:tc>
          <w:tcPr>
            <w:tcW w:type="dxa" w:w="1440"/>
          </w:tcPr>
          <w:p>
            <w:r>
              <w:t>0.808</w:t>
            </w:r>
          </w:p>
        </w:tc>
        <w:tc>
          <w:tcPr>
            <w:tcW w:type="dxa" w:w="1440"/>
          </w:tcPr>
          <w:p>
            <w:r>
              <w:t>0.768</w:t>
            </w:r>
          </w:p>
        </w:tc>
        <w:tc>
          <w:tcPr>
            <w:tcW w:type="dxa" w:w="1440"/>
          </w:tcPr>
          <w:p>
            <w:r>
              <w:t>1052.22</w:t>
            </w:r>
          </w:p>
        </w:tc>
        <w:tc>
          <w:tcPr>
            <w:tcW w:type="dxa" w:w="1440"/>
          </w:tcPr>
          <w:p>
            <w:r>
              <w:t>True</w:t>
            </w:r>
          </w:p>
        </w:tc>
      </w:tr>
      <w:tr>
        <w:tc>
          <w:tcPr>
            <w:tcW w:type="dxa" w:w="1440"/>
          </w:tcPr>
          <w:p>
            <w:r>
              <w:t>manglar_franja_alta</w:t>
            </w:r>
          </w:p>
        </w:tc>
        <w:tc>
          <w:tcPr>
            <w:tcW w:type="dxa" w:w="1440"/>
          </w:tcPr>
          <w:p>
            <w:r>
              <w:t>0.808</w:t>
            </w:r>
          </w:p>
        </w:tc>
        <w:tc>
          <w:tcPr>
            <w:tcW w:type="dxa" w:w="1440"/>
          </w:tcPr>
          <w:p>
            <w:r>
              <w:t>0.888</w:t>
            </w:r>
          </w:p>
        </w:tc>
        <w:tc>
          <w:tcPr>
            <w:tcW w:type="dxa" w:w="1440"/>
          </w:tcPr>
          <w:p>
            <w:r>
              <w:t>0.848</w:t>
            </w:r>
          </w:p>
        </w:tc>
        <w:tc>
          <w:tcPr>
            <w:tcW w:type="dxa" w:w="1440"/>
          </w:tcPr>
          <w:p>
            <w:r>
              <w:t>128.68</w:t>
            </w:r>
          </w:p>
        </w:tc>
        <w:tc>
          <w:tcPr>
            <w:tcW w:type="dxa" w:w="1440"/>
          </w:tcPr>
          <w:p>
            <w:r>
              <w:t>True</w:t>
            </w:r>
          </w:p>
        </w:tc>
      </w:tr>
    </w:tbl>
    <w:p>
      <w:pPr>
        <w:jc w:val="left"/>
      </w:pPr>
      <w:r>
        <w:rPr>
          <w:i/>
          <w:sz w:val="18"/>
        </w:rPr>
        <w:t>Tabla. Clases de cobertura del SNLMT, rango de NDVI y extensión. Fuente: elaboración propia a partir de Dioses-Puelles et al. (2023).</w:t>
      </w:r>
    </w:p>
    <w:p>
      <w:r>
        <w:t xml:space="preserve">La estructura de la comunidad vegetal se caracteriza mediante el índice de valor de importancia (IVI), que integra densidad, frecuencia y dominancia relativa. La </w:t>
      </w:r>
      <w:r>
        <w:rPr>
          <w:b/>
        </w:rPr>
        <w:t>Tabla 2</w:t>
      </w:r>
      <w:r>
        <w:t xml:space="preserve"> presenta las cinco especies de mangle registradas y su IVI observado.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especie</w:t>
            </w:r>
          </w:p>
        </w:tc>
        <w:tc>
          <w:tcPr>
            <w:tcW w:type="dxa" w:w="2160"/>
          </w:tcPr>
          <w:p>
            <w:r>
              <w:rPr>
                <w:b/>
              </w:rPr>
              <w:t>ivi_pct</w:t>
            </w:r>
          </w:p>
        </w:tc>
        <w:tc>
          <w:tcPr>
            <w:tcW w:type="dxa" w:w="2160"/>
          </w:tcPr>
          <w:p>
            <w:r>
              <w:rPr>
                <w:b/>
              </w:rPr>
              <w:t>data_source</w:t>
            </w:r>
          </w:p>
        </w:tc>
        <w:tc>
          <w:tcPr>
            <w:tcW w:type="dxa" w:w="2160"/>
          </w:tcPr>
          <w:p>
            <w:r>
              <w:rPr>
                <w:b/>
              </w:rPr>
              <w:t>fuente</w:t>
            </w:r>
          </w:p>
        </w:tc>
      </w:tr>
      <w:tr>
        <w:tc>
          <w:tcPr>
            <w:tcW w:type="dxa" w:w="2160"/>
          </w:tcPr>
          <w:p>
            <w:r>
              <w:t>Rhizophora mangle</w:t>
            </w:r>
          </w:p>
        </w:tc>
        <w:tc>
          <w:tcPr>
            <w:tcW w:type="dxa" w:w="2160"/>
          </w:tcPr>
          <w:p>
            <w:r>
              <w:t>86.92</w:t>
            </w:r>
          </w:p>
        </w:tc>
        <w:tc>
          <w:tcPr>
            <w:tcW w:type="dxa" w:w="2160"/>
          </w:tcPr>
          <w:p>
            <w:r>
              <w:t>real</w:t>
            </w:r>
          </w:p>
        </w:tc>
        <w:tc>
          <w:tcPr>
            <w:tcW w:type="dxa" w:w="2160"/>
          </w:tcPr>
          <w:p>
            <w:r>
              <w:t>Dioses-Puelles et al. (2023), Manglar 20(2)</w:t>
            </w:r>
          </w:p>
        </w:tc>
      </w:tr>
      <w:tr>
        <w:tc>
          <w:tcPr>
            <w:tcW w:type="dxa" w:w="2160"/>
          </w:tcPr>
          <w:p>
            <w:r>
              <w:t>Avicennia germinans</w:t>
            </w:r>
          </w:p>
        </w:tc>
        <w:tc>
          <w:tcPr>
            <w:tcW w:type="dxa" w:w="2160"/>
          </w:tcPr>
          <w:p>
            <w:r>
              <w:t>36.65</w:t>
            </w:r>
          </w:p>
        </w:tc>
        <w:tc>
          <w:tcPr>
            <w:tcW w:type="dxa" w:w="2160"/>
          </w:tcPr>
          <w:p>
            <w:r>
              <w:t>real</w:t>
            </w:r>
          </w:p>
        </w:tc>
        <w:tc>
          <w:tcPr>
            <w:tcW w:type="dxa" w:w="2160"/>
          </w:tcPr>
          <w:p>
            <w:r>
              <w:t>Dioses-Puelles et al. (2023), Manglar 20(2)</w:t>
            </w:r>
          </w:p>
        </w:tc>
      </w:tr>
      <w:tr>
        <w:tc>
          <w:tcPr>
            <w:tcW w:type="dxa" w:w="2160"/>
          </w:tcPr>
          <w:p>
            <w:r>
              <w:t>Rhizophora harrisonii</w:t>
            </w:r>
          </w:p>
        </w:tc>
        <w:tc>
          <w:tcPr>
            <w:tcW w:type="dxa" w:w="2160"/>
          </w:tcPr>
          <w:p>
            <w:r>
              <w:t>13.03</w:t>
            </w:r>
          </w:p>
        </w:tc>
        <w:tc>
          <w:tcPr>
            <w:tcW w:type="dxa" w:w="2160"/>
          </w:tcPr>
          <w:p>
            <w:r>
              <w:t>real</w:t>
            </w:r>
          </w:p>
        </w:tc>
        <w:tc>
          <w:tcPr>
            <w:tcW w:type="dxa" w:w="2160"/>
          </w:tcPr>
          <w:p>
            <w:r>
              <w:t>Dioses-Puelles et al. (2023), Manglar 20(2)</w:t>
            </w:r>
          </w:p>
        </w:tc>
      </w:tr>
      <w:tr>
        <w:tc>
          <w:tcPr>
            <w:tcW w:type="dxa" w:w="2160"/>
          </w:tcPr>
          <w:p>
            <w:r>
              <w:t>Laguncularia racemosa</w:t>
            </w:r>
          </w:p>
        </w:tc>
        <w:tc>
          <w:tcPr>
            <w:tcW w:type="dxa" w:w="2160"/>
          </w:tcPr>
          <w:p>
            <w:r>
              <w:t>8.4</w:t>
            </w:r>
          </w:p>
        </w:tc>
        <w:tc>
          <w:tcPr>
            <w:tcW w:type="dxa" w:w="2160"/>
          </w:tcPr>
          <w:p>
            <w:r>
              <w:t>real</w:t>
            </w:r>
          </w:p>
        </w:tc>
        <w:tc>
          <w:tcPr>
            <w:tcW w:type="dxa" w:w="2160"/>
          </w:tcPr>
          <w:p>
            <w:r>
              <w:t>Dioses-Puelles et al. (2023), Manglar 20(2)</w:t>
            </w:r>
          </w:p>
        </w:tc>
      </w:tr>
      <w:tr>
        <w:tc>
          <w:tcPr>
            <w:tcW w:type="dxa" w:w="2160"/>
          </w:tcPr>
          <w:p>
            <w:r>
              <w:t>Conocarpus erectus</w:t>
            </w:r>
          </w:p>
        </w:tc>
        <w:tc>
          <w:tcPr>
            <w:tcW w:type="dxa" w:w="2160"/>
          </w:tcPr>
          <w:p>
            <w:r>
              <w:t>3.2</w:t>
            </w:r>
          </w:p>
        </w:tc>
        <w:tc>
          <w:tcPr>
            <w:tcW w:type="dxa" w:w="2160"/>
          </w:tcPr>
          <w:p>
            <w:r>
              <w:t>real</w:t>
            </w:r>
          </w:p>
        </w:tc>
        <w:tc>
          <w:tcPr>
            <w:tcW w:type="dxa" w:w="2160"/>
          </w:tcPr>
          <w:p>
            <w:r>
              <w:t>Dioses-Puelles et al. (2023), Manglar 20(2)</w:t>
            </w:r>
          </w:p>
        </w:tc>
      </w:tr>
    </w:tbl>
    <w:p>
      <w:pPr>
        <w:jc w:val="left"/>
      </w:pPr>
      <w:r>
        <w:rPr>
          <w:i/>
          <w:sz w:val="18"/>
        </w:rPr>
        <w:t>Tabla. Especies de mangle del SNLMT e índice de valor de importancia (IVI). Fuente: Dioses-Puelles et al. (2023).</w:t>
      </w:r>
    </w:p>
    <w:p>
      <w:r>
        <w:t xml:space="preserve">La dinámica multitemporal de la extensión de manglar se documentó a partir de la serie Global Mangrove Watch versión 3.0, que provee once épocas entre 1996 y 2020 con resolución de 25 m bajo licencia CC BY 4.0 </w:t>
      </w:r>
      <w:r>
        <w:t>(Jafarzadeh et al et al., 2022)</w:t>
      </w:r>
      <w:r>
        <w:t xml:space="preserve">. La </w:t>
      </w:r>
      <w:r>
        <w:rPr>
          <w:b/>
        </w:rPr>
        <w:t>Figura 1</w:t>
      </w:r>
      <w:r>
        <w:t xml:space="preserve"> presenta la evolución observada para el noroeste del Perú.</w:t>
      </w:r>
    </w:p>
    <w:p>
      <w:pPr>
        <w:jc w:val="center"/>
      </w:pPr>
      <w:r>
        <w:drawing>
          <wp:inline xmlns:a="http://schemas.openxmlformats.org/drawingml/2006/main" xmlns:pic="http://schemas.openxmlformats.org/drawingml/2006/picture">
            <wp:extent cx="5580000" cy="3469091"/>
            <wp:docPr id="1" name="Picture 1"/>
            <wp:cNvGraphicFramePr>
              <a:graphicFrameLocks noChangeAspect="1"/>
            </wp:cNvGraphicFramePr>
            <a:graphic>
              <a:graphicData uri="http://schemas.openxmlformats.org/drawingml/2006/picture">
                <pic:pic>
                  <pic:nvPicPr>
                    <pic:cNvPr id="0" name="fig01_tendencia_gmw.png"/>
                    <pic:cNvPicPr/>
                  </pic:nvPicPr>
                  <pic:blipFill>
                    <a:blip r:embed="rId9"/>
                    <a:stretch>
                      <a:fillRect/>
                    </a:stretch>
                  </pic:blipFill>
                  <pic:spPr>
                    <a:xfrm>
                      <a:off x="0" y="0"/>
                      <a:ext cx="5580000" cy="3469091"/>
                    </a:xfrm>
                    <a:prstGeom prst="rect"/>
                  </pic:spPr>
                </pic:pic>
              </a:graphicData>
            </a:graphic>
          </wp:inline>
        </w:drawing>
      </w:r>
    </w:p>
    <w:p>
      <w:pPr>
        <w:jc w:val="center"/>
      </w:pPr>
      <w:r>
        <w:rPr>
          <w:i/>
          <w:sz w:val="18"/>
        </w:rPr>
        <w:t>Figura. Evolución de la extensión de manglar del SNLMT entre 1996 y 2020. Datos reales de Global Mangrove Watch v3.0. La tendencia positiva sostenida es consistente con el estatus de área natural protegida del Santuario.</w:t>
      </w:r>
    </w:p>
    <w:p>
      <w:pPr>
        <w:pStyle w:val="Heading2"/>
      </w:pPr>
      <w:r>
        <w:t>Diseño del dataset híbrido</w:t>
      </w:r>
    </w:p>
    <w:p>
      <w:r>
        <w:t xml:space="preserve">El dataset empleado tiene naturaleza híbrida y explícita en su trazabilidad. Las </w:t>
      </w:r>
      <w:r>
        <w:rPr>
          <w:b/>
        </w:rPr>
        <w:t>covariables son reales</w:t>
      </w:r>
      <w:r>
        <w:t xml:space="preserve">: los rangos de restauración hidrológica, área de humedal, densidad de carbono y NDVI se anclan en los valores observados y publicados para el SNLMT. La </w:t>
      </w:r>
      <w:r>
        <w:rPr>
          <w:b/>
        </w:rPr>
        <w:t>variable objetivo es simulada</w:t>
      </w:r>
      <w:r>
        <w:t>: la variación porcentual del carbono retenido a 2050 se genera con el motor determinista del gemelo digital, cuyos parámetros son calibrables y sustituibles por mediciones de campo.</w:t>
      </w:r>
    </w:p>
    <w:p>
      <w:r>
        <w:t xml:space="preserve">La separación explícita entre componente real y componente simulada responde a un criterio metodológico: permite auditar qué parte del resultado descansa en evidencia empírica y qué parte en la proyección del modelo físico. El motor implementa una curva saturante de respuesta a la restauración —coherente con la ley de rendimientos decrecientes observada en humedales restaurados </w:t>
      </w:r>
      <w:r>
        <w:t>(Twomey et al et al., 2024)</w:t>
      </w:r>
      <w:r>
        <w:t xml:space="preserve">— y una pérdida progresiva de área y densidad asociada a tres escenarios de ascenso del nivel del mar alineados con los rangos del IPCC </w:t>
      </w:r>
      <w:r>
        <w:t>(Buffington et al et al., 2021)</w:t>
      </w:r>
      <w:r>
        <w:t>.</w:t>
      </w:r>
    </w:p>
    <w:p>
      <w:r>
        <w:t xml:space="preserve">Se generaron 2 000 registros con semilla fija para garantizar la reproducibilidad. La mitad de las observaciones se concentró en los extremos del rango de restauración —por debajo del 12 % y por encima del 88 %— dado que los ensambles de árboles presentan sesgo en los bordes del dominio de las variables </w:t>
      </w:r>
      <w:r>
        <w:t>(Yang et al., 2024)</w:t>
      </w:r>
      <w:r>
        <w:t>.</w:t>
      </w:r>
    </w:p>
    <w:p>
      <w:pPr>
        <w:pStyle w:val="Heading2"/>
      </w:pPr>
      <w:r>
        <w:t>Protocolo CRISP-DM</w:t>
      </w:r>
    </w:p>
    <w:p>
      <w:r>
        <w:t>El sistema implementa las seis fases del estándar como módulos independientes y verificables.</w:t>
      </w:r>
    </w:p>
    <w:p>
      <w:pPr>
        <w:pStyle w:val="Heading3"/>
      </w:pPr>
      <w:r>
        <w:t>Fase 1. Comprensión del negocio</w:t>
      </w:r>
    </w:p>
    <w:p>
      <w:r>
        <w:t xml:space="preserve">Se definieron un objetivo de negocio y un objetivo analítico explícitos, junto con criterios de éxito verificables establecidos </w:t>
      </w:r>
      <w:r>
        <w:rPr>
          <w:i/>
        </w:rPr>
        <w:t>a priori</w:t>
      </w:r>
      <w:r>
        <w:t>: coeficiente de determinación fuera de muestra superior o igual a 0,85; error absoluto medio inferior o igual a 3 puntos porcentuales; diferencia estadísticamente significativa frente al modelo lineal de referencia; y estabilidad entre particiones con desviación estándar del R² no superior a 0,05.</w:t>
      </w:r>
    </w:p>
    <w:p>
      <w:pPr>
        <w:pStyle w:val="Heading3"/>
      </w:pPr>
      <w:r>
        <w:t>Fase 2. Comprensión de los datos</w:t>
      </w:r>
    </w:p>
    <w:p>
      <w:r>
        <w:t xml:space="preserve">El análisis exploratorio comprendió estadística descriptiva, diagnóstico de calidad —valores faltantes, duplicados y cardinalidad— y análisis de correlación de Pearson. La </w:t>
      </w:r>
      <w:r>
        <w:rPr>
          <w:b/>
        </w:rPr>
        <w:t>Tabla 3</w:t>
      </w:r>
      <w:r>
        <w:t xml:space="preserve"> resume el comportamiento de cada variable del dataset.</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variable</w:t>
            </w:r>
          </w:p>
        </w:tc>
        <w:tc>
          <w:tcPr>
            <w:tcW w:type="dxa" w:w="785"/>
          </w:tcPr>
          <w:p>
            <w:r>
              <w:rPr>
                <w:b/>
              </w:rPr>
              <w:t>n</w:t>
            </w:r>
          </w:p>
        </w:tc>
        <w:tc>
          <w:tcPr>
            <w:tcW w:type="dxa" w:w="785"/>
          </w:tcPr>
          <w:p>
            <w:r>
              <w:rPr>
                <w:b/>
              </w:rPr>
              <w:t>media</w:t>
            </w:r>
          </w:p>
        </w:tc>
        <w:tc>
          <w:tcPr>
            <w:tcW w:type="dxa" w:w="785"/>
          </w:tcPr>
          <w:p>
            <w:r>
              <w:rPr>
                <w:b/>
              </w:rPr>
              <w:t>mediana</w:t>
            </w:r>
          </w:p>
        </w:tc>
        <w:tc>
          <w:tcPr>
            <w:tcW w:type="dxa" w:w="785"/>
          </w:tcPr>
          <w:p>
            <w:r>
              <w:rPr>
                <w:b/>
              </w:rPr>
              <w:t>desv_std</w:t>
            </w:r>
          </w:p>
        </w:tc>
        <w:tc>
          <w:tcPr>
            <w:tcW w:type="dxa" w:w="785"/>
          </w:tcPr>
          <w:p>
            <w:r>
              <w:rPr>
                <w:b/>
              </w:rPr>
              <w:t>min</w:t>
            </w:r>
          </w:p>
        </w:tc>
        <w:tc>
          <w:tcPr>
            <w:tcW w:type="dxa" w:w="785"/>
          </w:tcPr>
          <w:p>
            <w:r>
              <w:rPr>
                <w:b/>
              </w:rPr>
              <w:t>p25</w:t>
            </w:r>
          </w:p>
        </w:tc>
        <w:tc>
          <w:tcPr>
            <w:tcW w:type="dxa" w:w="785"/>
          </w:tcPr>
          <w:p>
            <w:r>
              <w:rPr>
                <w:b/>
              </w:rPr>
              <w:t>p75</w:t>
            </w:r>
          </w:p>
        </w:tc>
        <w:tc>
          <w:tcPr>
            <w:tcW w:type="dxa" w:w="785"/>
          </w:tcPr>
          <w:p>
            <w:r>
              <w:rPr>
                <w:b/>
              </w:rPr>
              <w:t>max</w:t>
            </w:r>
          </w:p>
        </w:tc>
        <w:tc>
          <w:tcPr>
            <w:tcW w:type="dxa" w:w="785"/>
          </w:tcPr>
          <w:p>
            <w:r>
              <w:rPr>
                <w:b/>
              </w:rPr>
              <w:t>asimetria</w:t>
            </w:r>
          </w:p>
        </w:tc>
        <w:tc>
          <w:tcPr>
            <w:tcW w:type="dxa" w:w="785"/>
          </w:tcPr>
          <w:p>
            <w:r>
              <w:rPr>
                <w:b/>
              </w:rPr>
              <w:t>nulos</w:t>
            </w:r>
          </w:p>
        </w:tc>
      </w:tr>
      <w:tr>
        <w:tc>
          <w:tcPr>
            <w:tcW w:type="dxa" w:w="785"/>
          </w:tcPr>
          <w:p>
            <w:r>
              <w:t>restoration_level</w:t>
            </w:r>
          </w:p>
        </w:tc>
        <w:tc>
          <w:tcPr>
            <w:tcW w:type="dxa" w:w="785"/>
          </w:tcPr>
          <w:p>
            <w:r>
              <w:t>2000</w:t>
            </w:r>
          </w:p>
        </w:tc>
        <w:tc>
          <w:tcPr>
            <w:tcW w:type="dxa" w:w="785"/>
          </w:tcPr>
          <w:p>
            <w:r>
              <w:t>49.2396</w:t>
            </w:r>
          </w:p>
        </w:tc>
        <w:tc>
          <w:tcPr>
            <w:tcW w:type="dxa" w:w="785"/>
          </w:tcPr>
          <w:p>
            <w:r>
              <w:t>47.9066</w:t>
            </w:r>
          </w:p>
        </w:tc>
        <w:tc>
          <w:tcPr>
            <w:tcW w:type="dxa" w:w="785"/>
          </w:tcPr>
          <w:p>
            <w:r>
              <w:t>37.1158</w:t>
            </w:r>
          </w:p>
        </w:tc>
        <w:tc>
          <w:tcPr>
            <w:tcW w:type="dxa" w:w="785"/>
          </w:tcPr>
          <w:p>
            <w:r>
              <w:t>0.0038</w:t>
            </w:r>
          </w:p>
        </w:tc>
        <w:tc>
          <w:tcPr>
            <w:tcW w:type="dxa" w:w="785"/>
          </w:tcPr>
          <w:p>
            <w:r>
              <w:t>9.8278</w:t>
            </w:r>
          </w:p>
        </w:tc>
        <w:tc>
          <w:tcPr>
            <w:tcW w:type="dxa" w:w="785"/>
          </w:tcPr>
          <w:p>
            <w:r>
              <w:t>89.9648</w:t>
            </w:r>
          </w:p>
        </w:tc>
        <w:tc>
          <w:tcPr>
            <w:tcW w:type="dxa" w:w="785"/>
          </w:tcPr>
          <w:p>
            <w:r>
              <w:t>99.9715</w:t>
            </w:r>
          </w:p>
        </w:tc>
        <w:tc>
          <w:tcPr>
            <w:tcW w:type="dxa" w:w="785"/>
          </w:tcPr>
          <w:p>
            <w:r>
              <w:t>0.038</w:t>
            </w:r>
          </w:p>
        </w:tc>
        <w:tc>
          <w:tcPr>
            <w:tcW w:type="dxa" w:w="785"/>
          </w:tcPr>
          <w:p>
            <w:r>
              <w:t>0</w:t>
            </w:r>
          </w:p>
        </w:tc>
      </w:tr>
      <w:tr>
        <w:tc>
          <w:tcPr>
            <w:tcW w:type="dxa" w:w="785"/>
          </w:tcPr>
          <w:p>
            <w:r>
              <w:t>horizon_year</w:t>
            </w:r>
          </w:p>
        </w:tc>
        <w:tc>
          <w:tcPr>
            <w:tcW w:type="dxa" w:w="785"/>
          </w:tcPr>
          <w:p>
            <w:r>
              <w:t>2000</w:t>
            </w:r>
          </w:p>
        </w:tc>
        <w:tc>
          <w:tcPr>
            <w:tcW w:type="dxa" w:w="785"/>
          </w:tcPr>
          <w:p>
            <w:r>
              <w:t>2064.418</w:t>
            </w:r>
          </w:p>
        </w:tc>
        <w:tc>
          <w:tcPr>
            <w:tcW w:type="dxa" w:w="785"/>
          </w:tcPr>
          <w:p>
            <w:r>
              <w:t>2064.0</w:t>
            </w:r>
          </w:p>
        </w:tc>
        <w:tc>
          <w:tcPr>
            <w:tcW w:type="dxa" w:w="785"/>
          </w:tcPr>
          <w:p>
            <w:r>
              <w:t>20.6764</w:t>
            </w:r>
          </w:p>
        </w:tc>
        <w:tc>
          <w:tcPr>
            <w:tcW w:type="dxa" w:w="785"/>
          </w:tcPr>
          <w:p>
            <w:r>
              <w:t>2030.0</w:t>
            </w:r>
          </w:p>
        </w:tc>
        <w:tc>
          <w:tcPr>
            <w:tcW w:type="dxa" w:w="785"/>
          </w:tcPr>
          <w:p>
            <w:r>
              <w:t>2046.0</w:t>
            </w:r>
          </w:p>
        </w:tc>
        <w:tc>
          <w:tcPr>
            <w:tcW w:type="dxa" w:w="785"/>
          </w:tcPr>
          <w:p>
            <w:r>
              <w:t>2082.0</w:t>
            </w:r>
          </w:p>
        </w:tc>
        <w:tc>
          <w:tcPr>
            <w:tcW w:type="dxa" w:w="785"/>
          </w:tcPr>
          <w:p>
            <w:r>
              <w:t>2100.0</w:t>
            </w:r>
          </w:p>
        </w:tc>
        <w:tc>
          <w:tcPr>
            <w:tcW w:type="dxa" w:w="785"/>
          </w:tcPr>
          <w:p>
            <w:r>
              <w:t>0.0128</w:t>
            </w:r>
          </w:p>
        </w:tc>
        <w:tc>
          <w:tcPr>
            <w:tcW w:type="dxa" w:w="785"/>
          </w:tcPr>
          <w:p>
            <w:r>
              <w:t>0</w:t>
            </w:r>
          </w:p>
        </w:tc>
      </w:tr>
      <w:tr>
        <w:tc>
          <w:tcPr>
            <w:tcW w:type="dxa" w:w="785"/>
          </w:tcPr>
          <w:p>
            <w:r>
              <w:t>baseline_area_ha</w:t>
            </w:r>
          </w:p>
        </w:tc>
        <w:tc>
          <w:tcPr>
            <w:tcW w:type="dxa" w:w="785"/>
          </w:tcPr>
          <w:p>
            <w:r>
              <w:t>2000</w:t>
            </w:r>
          </w:p>
        </w:tc>
        <w:tc>
          <w:tcPr>
            <w:tcW w:type="dxa" w:w="785"/>
          </w:tcPr>
          <w:p>
            <w:r>
              <w:t>175.7092</w:t>
            </w:r>
          </w:p>
        </w:tc>
        <w:tc>
          <w:tcPr>
            <w:tcW w:type="dxa" w:w="785"/>
          </w:tcPr>
          <w:p>
            <w:r>
              <w:t>174.0028</w:t>
            </w:r>
          </w:p>
        </w:tc>
        <w:tc>
          <w:tcPr>
            <w:tcW w:type="dxa" w:w="785"/>
          </w:tcPr>
          <w:p>
            <w:r>
              <w:t>72.6122</w:t>
            </w:r>
          </w:p>
        </w:tc>
        <w:tc>
          <w:tcPr>
            <w:tcW w:type="dxa" w:w="785"/>
          </w:tcPr>
          <w:p>
            <w:r>
              <w:t>50.1297</w:t>
            </w:r>
          </w:p>
        </w:tc>
        <w:tc>
          <w:tcPr>
            <w:tcW w:type="dxa" w:w="785"/>
          </w:tcPr>
          <w:p>
            <w:r>
              <w:t>111.0177</w:t>
            </w:r>
          </w:p>
        </w:tc>
        <w:tc>
          <w:tcPr>
            <w:tcW w:type="dxa" w:w="785"/>
          </w:tcPr>
          <w:p>
            <w:r>
              <w:t>240.3032</w:t>
            </w:r>
          </w:p>
        </w:tc>
        <w:tc>
          <w:tcPr>
            <w:tcW w:type="dxa" w:w="785"/>
          </w:tcPr>
          <w:p>
            <w:r>
              <w:t>299.8555</w:t>
            </w:r>
          </w:p>
        </w:tc>
        <w:tc>
          <w:tcPr>
            <w:tcW w:type="dxa" w:w="785"/>
          </w:tcPr>
          <w:p>
            <w:r>
              <w:t>0.0068</w:t>
            </w:r>
          </w:p>
        </w:tc>
        <w:tc>
          <w:tcPr>
            <w:tcW w:type="dxa" w:w="785"/>
          </w:tcPr>
          <w:p>
            <w:r>
              <w:t>0</w:t>
            </w:r>
          </w:p>
        </w:tc>
      </w:tr>
      <w:tr>
        <w:tc>
          <w:tcPr>
            <w:tcW w:type="dxa" w:w="785"/>
          </w:tcPr>
          <w:p>
            <w:r>
              <w:t>baseline_carbon_density</w:t>
            </w:r>
          </w:p>
        </w:tc>
        <w:tc>
          <w:tcPr>
            <w:tcW w:type="dxa" w:w="785"/>
          </w:tcPr>
          <w:p>
            <w:r>
              <w:t>2000</w:t>
            </w:r>
          </w:p>
        </w:tc>
        <w:tc>
          <w:tcPr>
            <w:tcW w:type="dxa" w:w="785"/>
          </w:tcPr>
          <w:p>
            <w:r>
              <w:t>84.5256</w:t>
            </w:r>
          </w:p>
        </w:tc>
        <w:tc>
          <w:tcPr>
            <w:tcW w:type="dxa" w:w="785"/>
          </w:tcPr>
          <w:p>
            <w:r>
              <w:t>84.6532</w:t>
            </w:r>
          </w:p>
        </w:tc>
        <w:tc>
          <w:tcPr>
            <w:tcW w:type="dxa" w:w="785"/>
          </w:tcPr>
          <w:p>
            <w:r>
              <w:t>20.2896</w:t>
            </w:r>
          </w:p>
        </w:tc>
        <w:tc>
          <w:tcPr>
            <w:tcW w:type="dxa" w:w="785"/>
          </w:tcPr>
          <w:p>
            <w:r>
              <w:t>50.045</w:t>
            </w:r>
          </w:p>
        </w:tc>
        <w:tc>
          <w:tcPr>
            <w:tcW w:type="dxa" w:w="785"/>
          </w:tcPr>
          <w:p>
            <w:r>
              <w:t>67.2077</w:t>
            </w:r>
          </w:p>
        </w:tc>
        <w:tc>
          <w:tcPr>
            <w:tcW w:type="dxa" w:w="785"/>
          </w:tcPr>
          <w:p>
            <w:r>
              <w:t>102.1958</w:t>
            </w:r>
          </w:p>
        </w:tc>
        <w:tc>
          <w:tcPr>
            <w:tcW w:type="dxa" w:w="785"/>
          </w:tcPr>
          <w:p>
            <w:r>
              <w:t>119.9836</w:t>
            </w:r>
          </w:p>
        </w:tc>
        <w:tc>
          <w:tcPr>
            <w:tcW w:type="dxa" w:w="785"/>
          </w:tcPr>
          <w:p>
            <w:r>
              <w:t>0.0334</w:t>
            </w:r>
          </w:p>
        </w:tc>
        <w:tc>
          <w:tcPr>
            <w:tcW w:type="dxa" w:w="785"/>
          </w:tcPr>
          <w:p>
            <w:r>
              <w:t>0</w:t>
            </w:r>
          </w:p>
        </w:tc>
      </w:tr>
      <w:tr>
        <w:tc>
          <w:tcPr>
            <w:tcW w:type="dxa" w:w="785"/>
          </w:tcPr>
          <w:p>
            <w:r>
              <w:t>ndvi</w:t>
            </w:r>
          </w:p>
        </w:tc>
        <w:tc>
          <w:tcPr>
            <w:tcW w:type="dxa" w:w="785"/>
          </w:tcPr>
          <w:p>
            <w:r>
              <w:t>2000</w:t>
            </w:r>
          </w:p>
        </w:tc>
        <w:tc>
          <w:tcPr>
            <w:tcW w:type="dxa" w:w="785"/>
          </w:tcPr>
          <w:p>
            <w:r>
              <w:t>0.768</w:t>
            </w:r>
          </w:p>
        </w:tc>
        <w:tc>
          <w:tcPr>
            <w:tcW w:type="dxa" w:w="785"/>
          </w:tcPr>
          <w:p>
            <w:r>
              <w:t>0.768</w:t>
            </w:r>
          </w:p>
        </w:tc>
        <w:tc>
          <w:tcPr>
            <w:tcW w:type="dxa" w:w="785"/>
          </w:tcPr>
          <w:p>
            <w:r>
              <w:t>0.0229</w:t>
            </w:r>
          </w:p>
        </w:tc>
        <w:tc>
          <w:tcPr>
            <w:tcW w:type="dxa" w:w="785"/>
          </w:tcPr>
          <w:p>
            <w:r>
              <w:t>0.7281</w:t>
            </w:r>
          </w:p>
        </w:tc>
        <w:tc>
          <w:tcPr>
            <w:tcW w:type="dxa" w:w="785"/>
          </w:tcPr>
          <w:p>
            <w:r>
              <w:t>0.7478</w:t>
            </w:r>
          </w:p>
        </w:tc>
        <w:tc>
          <w:tcPr>
            <w:tcW w:type="dxa" w:w="785"/>
          </w:tcPr>
          <w:p>
            <w:r>
              <w:t>0.788</w:t>
            </w:r>
          </w:p>
        </w:tc>
        <w:tc>
          <w:tcPr>
            <w:tcW w:type="dxa" w:w="785"/>
          </w:tcPr>
          <w:p>
            <w:r>
              <w:t>0.808</w:t>
            </w:r>
          </w:p>
        </w:tc>
        <w:tc>
          <w:tcPr>
            <w:tcW w:type="dxa" w:w="785"/>
          </w:tcPr>
          <w:p>
            <w:r>
              <w:t>0.0091</w:t>
            </w:r>
          </w:p>
        </w:tc>
        <w:tc>
          <w:tcPr>
            <w:tcW w:type="dxa" w:w="785"/>
          </w:tcPr>
          <w:p>
            <w:r>
              <w:t>0</w:t>
            </w:r>
          </w:p>
        </w:tc>
      </w:tr>
      <w:tr>
        <w:tc>
          <w:tcPr>
            <w:tcW w:type="dxa" w:w="785"/>
          </w:tcPr>
          <w:p>
            <w:r>
              <w:t>month</w:t>
            </w:r>
          </w:p>
        </w:tc>
        <w:tc>
          <w:tcPr>
            <w:tcW w:type="dxa" w:w="785"/>
          </w:tcPr>
          <w:p>
            <w:r>
              <w:t>2000</w:t>
            </w:r>
          </w:p>
        </w:tc>
        <w:tc>
          <w:tcPr>
            <w:tcW w:type="dxa" w:w="785"/>
          </w:tcPr>
          <w:p>
            <w:r>
              <w:t>6.3725</w:t>
            </w:r>
          </w:p>
        </w:tc>
        <w:tc>
          <w:tcPr>
            <w:tcW w:type="dxa" w:w="785"/>
          </w:tcPr>
          <w:p>
            <w:r>
              <w:t>6.0</w:t>
            </w:r>
          </w:p>
        </w:tc>
        <w:tc>
          <w:tcPr>
            <w:tcW w:type="dxa" w:w="785"/>
          </w:tcPr>
          <w:p>
            <w:r>
              <w:t>3.4473</w:t>
            </w:r>
          </w:p>
        </w:tc>
        <w:tc>
          <w:tcPr>
            <w:tcW w:type="dxa" w:w="785"/>
          </w:tcPr>
          <w:p>
            <w:r>
              <w:t>1.0</w:t>
            </w:r>
          </w:p>
        </w:tc>
        <w:tc>
          <w:tcPr>
            <w:tcW w:type="dxa" w:w="785"/>
          </w:tcPr>
          <w:p>
            <w:r>
              <w:t>3.0</w:t>
            </w:r>
          </w:p>
        </w:tc>
        <w:tc>
          <w:tcPr>
            <w:tcW w:type="dxa" w:w="785"/>
          </w:tcPr>
          <w:p>
            <w:r>
              <w:t>9.0</w:t>
            </w:r>
          </w:p>
        </w:tc>
        <w:tc>
          <w:tcPr>
            <w:tcW w:type="dxa" w:w="785"/>
          </w:tcPr>
          <w:p>
            <w:r>
              <w:t>12.0</w:t>
            </w:r>
          </w:p>
        </w:tc>
        <w:tc>
          <w:tcPr>
            <w:tcW w:type="dxa" w:w="785"/>
          </w:tcPr>
          <w:p>
            <w:r>
              <w:t>0.0232</w:t>
            </w:r>
          </w:p>
        </w:tc>
        <w:tc>
          <w:tcPr>
            <w:tcW w:type="dxa" w:w="785"/>
          </w:tcPr>
          <w:p>
            <w:r>
              <w:t>0</w:t>
            </w:r>
          </w:p>
        </w:tc>
      </w:tr>
      <w:tr>
        <w:tc>
          <w:tcPr>
            <w:tcW w:type="dxa" w:w="785"/>
          </w:tcPr>
          <w:p>
            <w:r>
              <w:t>horizon_variation_pct</w:t>
            </w:r>
          </w:p>
        </w:tc>
        <w:tc>
          <w:tcPr>
            <w:tcW w:type="dxa" w:w="785"/>
          </w:tcPr>
          <w:p>
            <w:r>
              <w:t>2000</w:t>
            </w:r>
          </w:p>
        </w:tc>
        <w:tc>
          <w:tcPr>
            <w:tcW w:type="dxa" w:w="785"/>
          </w:tcPr>
          <w:p>
            <w:r>
              <w:t>-2.1447</w:t>
            </w:r>
          </w:p>
        </w:tc>
        <w:tc>
          <w:tcPr>
            <w:tcW w:type="dxa" w:w="785"/>
          </w:tcPr>
          <w:p>
            <w:r>
              <w:t>-6.16</w:t>
            </w:r>
          </w:p>
        </w:tc>
        <w:tc>
          <w:tcPr>
            <w:tcW w:type="dxa" w:w="785"/>
          </w:tcPr>
          <w:p>
            <w:r>
              <w:t>19.4468</w:t>
            </w:r>
          </w:p>
        </w:tc>
        <w:tc>
          <w:tcPr>
            <w:tcW w:type="dxa" w:w="785"/>
          </w:tcPr>
          <w:p>
            <w:r>
              <w:t>-37.57</w:t>
            </w:r>
          </w:p>
        </w:tc>
        <w:tc>
          <w:tcPr>
            <w:tcW w:type="dxa" w:w="785"/>
          </w:tcPr>
          <w:p>
            <w:r>
              <w:t>-15.5975</w:t>
            </w:r>
          </w:p>
        </w:tc>
        <w:tc>
          <w:tcPr>
            <w:tcW w:type="dxa" w:w="785"/>
          </w:tcPr>
          <w:p>
            <w:r>
              <w:t>12.405</w:t>
            </w:r>
          </w:p>
        </w:tc>
        <w:tc>
          <w:tcPr>
            <w:tcW w:type="dxa" w:w="785"/>
          </w:tcPr>
          <w:p>
            <w:r>
              <w:t>30.28</w:t>
            </w:r>
          </w:p>
        </w:tc>
        <w:tc>
          <w:tcPr>
            <w:tcW w:type="dxa" w:w="785"/>
          </w:tcPr>
          <w:p>
            <w:r>
              <w:t>0.0966</w:t>
            </w:r>
          </w:p>
        </w:tc>
        <w:tc>
          <w:tcPr>
            <w:tcW w:type="dxa" w:w="785"/>
          </w:tcPr>
          <w:p>
            <w:r>
              <w:t>0</w:t>
            </w:r>
          </w:p>
        </w:tc>
      </w:tr>
      <w:tr>
        <w:tc>
          <w:tcPr>
            <w:tcW w:type="dxa" w:w="785"/>
          </w:tcPr>
          <w:p>
            <w:r>
              <w:t>horizon_carbon_tC</w:t>
            </w:r>
          </w:p>
        </w:tc>
        <w:tc>
          <w:tcPr>
            <w:tcW w:type="dxa" w:w="785"/>
          </w:tcPr>
          <w:p>
            <w:r>
              <w:t>2000</w:t>
            </w:r>
          </w:p>
        </w:tc>
        <w:tc>
          <w:tcPr>
            <w:tcW w:type="dxa" w:w="785"/>
          </w:tcPr>
          <w:p>
            <w:r>
              <w:t>14525.5123</w:t>
            </w:r>
          </w:p>
        </w:tc>
        <w:tc>
          <w:tcPr>
            <w:tcW w:type="dxa" w:w="785"/>
          </w:tcPr>
          <w:p>
            <w:r>
              <w:t>13311.01</w:t>
            </w:r>
          </w:p>
        </w:tc>
        <w:tc>
          <w:tcPr>
            <w:tcW w:type="dxa" w:w="785"/>
          </w:tcPr>
          <w:p>
            <w:r>
              <w:t>7798.1628</w:t>
            </w:r>
          </w:p>
        </w:tc>
        <w:tc>
          <w:tcPr>
            <w:tcW w:type="dxa" w:w="785"/>
          </w:tcPr>
          <w:p>
            <w:r>
              <w:t>2454.67</w:t>
            </w:r>
          </w:p>
        </w:tc>
        <w:tc>
          <w:tcPr>
            <w:tcW w:type="dxa" w:w="785"/>
          </w:tcPr>
          <w:p>
            <w:r>
              <w:t>8390.09</w:t>
            </w:r>
          </w:p>
        </w:tc>
        <w:tc>
          <w:tcPr>
            <w:tcW w:type="dxa" w:w="785"/>
          </w:tcPr>
          <w:p>
            <w:r>
              <w:t>19014.4875</w:t>
            </w:r>
          </w:p>
        </w:tc>
        <w:tc>
          <w:tcPr>
            <w:tcW w:type="dxa" w:w="785"/>
          </w:tcPr>
          <w:p>
            <w:r>
              <w:t>45683.53</w:t>
            </w:r>
          </w:p>
        </w:tc>
        <w:tc>
          <w:tcPr>
            <w:tcW w:type="dxa" w:w="785"/>
          </w:tcPr>
          <w:p>
            <w:r>
              <w:t>0.8385</w:t>
            </w:r>
          </w:p>
        </w:tc>
        <w:tc>
          <w:tcPr>
            <w:tcW w:type="dxa" w:w="785"/>
          </w:tcPr>
          <w:p>
            <w:r>
              <w:t>0</w:t>
            </w:r>
          </w:p>
        </w:tc>
      </w:tr>
      <w:tr>
        <w:tc>
          <w:tcPr>
            <w:tcW w:type="dxa" w:w="785"/>
          </w:tcPr>
          <w:p>
            <w:r>
              <w:t>meets_hypothesis</w:t>
            </w:r>
          </w:p>
        </w:tc>
        <w:tc>
          <w:tcPr>
            <w:tcW w:type="dxa" w:w="785"/>
          </w:tcPr>
          <w:p>
            <w:r>
              <w:t>2000</w:t>
            </w:r>
          </w:p>
        </w:tc>
        <w:tc>
          <w:tcPr>
            <w:tcW w:type="dxa" w:w="785"/>
          </w:tcPr>
          <w:p>
            <w:r>
              <w:t>0.148</w:t>
            </w:r>
          </w:p>
        </w:tc>
        <w:tc>
          <w:tcPr>
            <w:tcW w:type="dxa" w:w="785"/>
          </w:tcPr>
          <w:p>
            <w:r>
              <w:t>0.0</w:t>
            </w:r>
          </w:p>
        </w:tc>
        <w:tc>
          <w:tcPr>
            <w:tcW w:type="dxa" w:w="785"/>
          </w:tcPr>
          <w:p>
            <w:r>
              <w:t>0.3552</w:t>
            </w:r>
          </w:p>
        </w:tc>
        <w:tc>
          <w:tcPr>
            <w:tcW w:type="dxa" w:w="785"/>
          </w:tcPr>
          <w:p>
            <w:r>
              <w:t>0.0</w:t>
            </w:r>
          </w:p>
        </w:tc>
        <w:tc>
          <w:tcPr>
            <w:tcW w:type="dxa" w:w="785"/>
          </w:tcPr>
          <w:p>
            <w:r>
              <w:t>0.0</w:t>
            </w:r>
          </w:p>
        </w:tc>
        <w:tc>
          <w:tcPr>
            <w:tcW w:type="dxa" w:w="785"/>
          </w:tcPr>
          <w:p>
            <w:r>
              <w:t>0.0</w:t>
            </w:r>
          </w:p>
        </w:tc>
        <w:tc>
          <w:tcPr>
            <w:tcW w:type="dxa" w:w="785"/>
          </w:tcPr>
          <w:p>
            <w:r>
              <w:t>1.0</w:t>
            </w:r>
          </w:p>
        </w:tc>
        <w:tc>
          <w:tcPr>
            <w:tcW w:type="dxa" w:w="785"/>
          </w:tcPr>
          <w:p>
            <w:r>
              <w:t>1.984</w:t>
            </w:r>
          </w:p>
        </w:tc>
        <w:tc>
          <w:tcPr>
            <w:tcW w:type="dxa" w:w="785"/>
          </w:tcPr>
          <w:p>
            <w:r>
              <w:t>0</w:t>
            </w:r>
          </w:p>
        </w:tc>
      </w:tr>
    </w:tbl>
    <w:p>
      <w:pPr>
        <w:jc w:val="left"/>
      </w:pPr>
      <w:r>
        <w:rPr>
          <w:i/>
          <w:sz w:val="18"/>
        </w:rPr>
        <w:t>Tabla. Estadística descriptiva de las variables del dataset híbrido (n = 2 000). La asimetría próxima a cero en las variables de restauración y horizonte confirma la ausencia de sesgo sistemático en el muestreo.</w:t>
      </w:r>
    </w:p>
    <w:p>
      <w:r>
        <w:t xml:space="preserve">La </w:t>
      </w:r>
      <w:r>
        <w:rPr>
          <w:b/>
        </w:rPr>
        <w:t>Figura 2</w:t>
      </w:r>
      <w:r>
        <w:t xml:space="preserve"> presenta la distribución de las variables principales. La concentración de observaciones en los extremos del rango de restauración responde al diseño experimental descrito; el NDVI muestra dispersión reducida por su restricción al rango observado del manglar de franja media.</w:t>
      </w:r>
    </w:p>
    <w:p>
      <w:pPr>
        <w:jc w:val="center"/>
      </w:pPr>
      <w:r>
        <w:drawing>
          <wp:inline xmlns:a="http://schemas.openxmlformats.org/drawingml/2006/main" xmlns:pic="http://schemas.openxmlformats.org/drawingml/2006/picture">
            <wp:extent cx="5580000" cy="3551268"/>
            <wp:docPr id="2" name="Picture 2"/>
            <wp:cNvGraphicFramePr>
              <a:graphicFrameLocks noChangeAspect="1"/>
            </wp:cNvGraphicFramePr>
            <a:graphic>
              <a:graphicData uri="http://schemas.openxmlformats.org/drawingml/2006/picture">
                <pic:pic>
                  <pic:nvPicPr>
                    <pic:cNvPr id="0" name="fig02_distribuciones.png"/>
                    <pic:cNvPicPr/>
                  </pic:nvPicPr>
                  <pic:blipFill>
                    <a:blip r:embed="rId10"/>
                    <a:stretch>
                      <a:fillRect/>
                    </a:stretch>
                  </pic:blipFill>
                  <pic:spPr>
                    <a:xfrm>
                      <a:off x="0" y="0"/>
                      <a:ext cx="5580000" cy="3551268"/>
                    </a:xfrm>
                    <a:prstGeom prst="rect"/>
                  </pic:spPr>
                </pic:pic>
              </a:graphicData>
            </a:graphic>
          </wp:inline>
        </w:drawing>
      </w:r>
    </w:p>
    <w:p>
      <w:pPr>
        <w:jc w:val="center"/>
      </w:pPr>
      <w:r>
        <w:rPr>
          <w:i/>
          <w:sz w:val="18"/>
        </w:rPr>
        <w:t>Figura. Distribución de las variables principales del dataset híbrido. Los máximos en los extremos del rango de restauración son intencionales y previenen el sesgo de los ensambles de árboles en los bordes del dominio.</w:t>
      </w:r>
    </w:p>
    <w:p>
      <w:pPr>
        <w:pStyle w:val="Heading3"/>
      </w:pPr>
      <w:r>
        <w:t>Fase 3. Preparación de los datos</w:t>
      </w:r>
    </w:p>
    <w:p>
      <w:r>
        <w:t xml:space="preserve">Se construyó la matriz de atributos con codificación ordinal del escenario de ascenso del mar y se separó la variable objetivo. El escalado estandarizado se aplicó </w:t>
      </w:r>
      <w:r>
        <w:rPr>
          <w:b/>
        </w:rPr>
        <w:t>dentro</w:t>
      </w:r>
      <w:r>
        <w:t xml:space="preserve"> de cada pipeline de modelado, de modo que los parámetros de normalización se estiman exclusivamente sobre cada partición de entrenamiento y no contaminan la evaluación. Este diseño previene la fuga de información, error frecuente cuando el escalado se ejecuta sobre el conjunto completo antes de la partición.</w:t>
      </w:r>
    </w:p>
    <w:p>
      <w:pPr>
        <w:pStyle w:val="Heading3"/>
      </w:pPr>
      <w:r>
        <w:t>Fase 4. Modelado</w:t>
      </w:r>
    </w:p>
    <w:p>
      <w:r>
        <w:t xml:space="preserve">Se compararon cinco algoritmos representativos de tres familias: un modelo lineal como referencia </w:t>
      </w:r>
      <w:r>
        <w:t>(Khan et al et al., 2025)</w:t>
      </w:r>
      <w:r>
        <w:t xml:space="preserve">, una variante regularizada y tres ensambles de árboles </w:t>
      </w:r>
      <w:r>
        <w:t>(Rasheed et al et al., 2020)</w:t>
      </w:r>
      <w:r>
        <w:t xml:space="preserve">, </w:t>
      </w:r>
      <w:r>
        <w:t>(Yang et al., 2024)</w:t>
      </w:r>
      <w:r>
        <w:t xml:space="preserve">, </w:t>
      </w:r>
      <w:r>
        <w:t>(Qamsane et al et al., 2021)</w:t>
      </w:r>
      <w:r>
        <w:t xml:space="preserve">. Todos se implementaron como pipelines de scikit-learn </w:t>
      </w:r>
      <w:r>
        <w:t>(Wright &amp; Davidson, 2020)</w:t>
      </w:r>
      <w:r>
        <w:t>, garantizando idéntico preprocesamiento y comparabilidad estricta.</w:t>
      </w:r>
    </w:p>
    <w:p>
      <w:pPr>
        <w:pStyle w:val="Heading3"/>
      </w:pPr>
      <w:r>
        <w:t>Fase 5. Evaluación</w:t>
      </w:r>
    </w:p>
    <w:p>
      <w:r>
        <w:t xml:space="preserve">La evaluación combinó cuatro instrumentos complementarios. Primero, </w:t>
      </w:r>
      <w:r>
        <w:rPr>
          <w:b/>
        </w:rPr>
        <w:t>validación cruzada</w:t>
      </w:r>
      <w:r>
        <w:t xml:space="preserve"> con diez particiones, empleando el R² medio entre particiones como criterio principal de selección por ser más robusto que una única partición de prueba. Segundo, </w:t>
      </w:r>
      <w:r>
        <w:rPr>
          <w:b/>
        </w:rPr>
        <w:t>pruebas de significancia estadística</w:t>
      </w:r>
      <w:r>
        <w:t xml:space="preserve"> —t de Student pareada y Wilcoxon signed-rank sobre los puntajes por partición— para contrastar el mejor modelo frente a los restantes </w:t>
      </w:r>
      <w:r>
        <w:t>(de Koning et al., 2023)</w:t>
      </w:r>
      <w:r>
        <w:t xml:space="preserve">, </w:t>
      </w:r>
      <w:r>
        <w:t>(Durden, 2025)</w:t>
      </w:r>
      <w:r>
        <w:t xml:space="preserve">. Tercero, </w:t>
      </w:r>
      <w:r>
        <w:rPr>
          <w:b/>
        </w:rPr>
        <w:t>intervalos de confianza</w:t>
      </w:r>
      <w:r>
        <w:t xml:space="preserve"> del error absoluto medio mediante remuestreo bootstrap con 500 réplicas </w:t>
      </w:r>
      <w:r>
        <w:t>(Chen et al., 2025)</w:t>
      </w:r>
      <w:r>
        <w:t xml:space="preserve">. Cuarto, </w:t>
      </w:r>
      <w:r>
        <w:rPr>
          <w:b/>
        </w:rPr>
        <w:t>verificación de supuestos</w:t>
      </w:r>
      <w:r>
        <w:t xml:space="preserve"> mediante la prueba de Shapiro-Wilk sobre los residuales </w:t>
      </w:r>
      <w:r>
        <w:t>(Lei et al et al., 2023)</w:t>
      </w:r>
      <w:r>
        <w:t>, que orienta la elección entre pruebas paramétricas y no paramétricas.</w:t>
      </w:r>
    </w:p>
    <w:p>
      <w:r>
        <w:t xml:space="preserve">La </w:t>
      </w:r>
      <w:r>
        <w:rPr>
          <w:b/>
        </w:rPr>
        <w:t>interpretabilidad</w:t>
      </w:r>
      <w:r>
        <w:t xml:space="preserve"> se abordó mediante importancia por permutación, técnica model-agnóstica que cuantifica la caída del R² al desordenar aleatoriamente cada variable, con diez repeticiones para estimar su variabilidad </w:t>
      </w:r>
      <w:r>
        <w:t>(Rasheed et al et al., 2020)</w:t>
      </w:r>
      <w:r>
        <w:t xml:space="preserve">, </w:t>
      </w:r>
      <w:r>
        <w:t>(Weil et al et al., 2023)</w:t>
      </w:r>
      <w:r>
        <w:t>. Esta elección permite auditar el modelo sin depender de supuestos sobre su estructura interna.</w:t>
      </w:r>
    </w:p>
    <w:p>
      <w:pPr>
        <w:pStyle w:val="Heading3"/>
      </w:pPr>
      <w:r>
        <w:t>Fase 6. Despliegue</w:t>
      </w:r>
    </w:p>
    <w:p>
      <w:r>
        <w:t xml:space="preserve">La fase de despliegue se materializó en dos productos. El primero es un </w:t>
      </w:r>
      <w:r>
        <w:rPr>
          <w:b/>
        </w:rPr>
        <w:t>panel interactivo</w:t>
      </w:r>
      <w:r>
        <w:t xml:space="preserve"> desarrollado en Streamlit que expone las seis fases, permite recalcular el pipeline con distintos hiperparámetros y presenta cada figura y tabla con su interpretación. El segundo es un conjunto de </w:t>
      </w:r>
      <w:r>
        <w:rPr>
          <w:b/>
        </w:rPr>
        <w:t>reportes exportables</w:t>
      </w:r>
      <w:r>
        <w:t xml:space="preserve"> en formato CSV y PNG, más un documento Word generado de forma determinística a partir de secciones Markdown independientes.</w:t>
      </w:r>
    </w:p>
    <w:p>
      <w:pPr>
        <w:pStyle w:val="Heading2"/>
      </w:pPr>
      <w:r>
        <w:t>Control de versiones y trazabilidad</w:t>
      </w:r>
    </w:p>
    <w:p>
      <w:r>
        <w:t xml:space="preserve">El desarrollo se gestionó sobre Git con historial lineal en la rama principal, acumulando 39 confirmaciones entre el 31 de agosto y el 29 de septiembre de 2026. La convención de mensajes siguió el formato de </w:t>
      </w:r>
      <w:r>
        <w:rPr>
          <w:i/>
        </w:rPr>
        <w:t>commits</w:t>
      </w:r>
      <w:r>
        <w:t xml:space="preserve"> convencionales, con prefijos que identifican el tipo de cambio y referencias a los hallazgos de revisión de calidad atendidos. Esta práctica permitió reconstruir el origen de cada decisión de diseño y sostener un proceso de revisión continua sobre el código.</w:t>
      </w:r>
    </w:p>
    <w:p>
      <w:r>
        <w:t>La gestión de incidencias se planificó sobre una plataforma de seguimiento de proyectos con tablero de tareas, historias de usuario y criterios de aceptación por incremento. Su implementación completa quedó fuera del alcance temporal del presente entregable, pero la estructura de los mensajes de confirmación preserva la relación entre cada cambio y el hallazgo o requisito que lo motivó.</w:t>
      </w:r>
    </w:p>
    <w:p>
      <w:pPr>
        <w:pStyle w:val="Heading2"/>
      </w:pPr>
      <w:r>
        <w:t>Reproducibilidad</w:t>
      </w:r>
    </w:p>
    <w:p>
      <w:r>
        <w:t>El código se organiza en módulos con responsabilidad única: generación del dataset híbrido, motor CRISP-DM, aplicación interactiva y ensamblador de documentos. Todas las cifras del artículo se derivan automáticamente del motor; ninguna se transcribe manualmente. La semilla aleatoria es fija (42) y las versiones de las dependencias están ancladas en el archivo de requisitos, de modo que la ejecución repetida reproduce exactamente los resultados reportados.</w:t>
      </w:r>
    </w:p>
    <w:p>
      <w:pPr>
        <w:pStyle w:val="Heading1"/>
      </w:pPr>
      <w:r>
        <w:t>Resultados</w:t>
      </w:r>
    </w:p>
    <w:p>
      <w:pPr>
        <w:pStyle w:val="Heading2"/>
      </w:pPr>
      <w:r>
        <w:t>Comparación de modelos</w:t>
      </w:r>
    </w:p>
    <w:p>
      <w:r>
        <w:t xml:space="preserve">La </w:t>
      </w:r>
      <w:r>
        <w:rPr>
          <w:b/>
        </w:rPr>
        <w:t>Tabla 4</w:t>
      </w:r>
      <w:r>
        <w:t xml:space="preserve"> sintetiza el desempeño de los cinco algoritmos evaluados, con las métricas del conjunto de prueba y los resultados de la validación cruzada de diez particiones.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modelo</w:t>
            </w:r>
          </w:p>
        </w:tc>
        <w:tc>
          <w:tcPr>
            <w:tcW w:type="dxa" w:w="1440"/>
          </w:tcPr>
          <w:p>
            <w:r>
              <w:rPr>
                <w:b/>
              </w:rPr>
              <w:t>r2_test</w:t>
            </w:r>
          </w:p>
        </w:tc>
        <w:tc>
          <w:tcPr>
            <w:tcW w:type="dxa" w:w="1440"/>
          </w:tcPr>
          <w:p>
            <w:r>
              <w:rPr>
                <w:b/>
              </w:rPr>
              <w:t>mae_test</w:t>
            </w:r>
          </w:p>
        </w:tc>
        <w:tc>
          <w:tcPr>
            <w:tcW w:type="dxa" w:w="1440"/>
          </w:tcPr>
          <w:p>
            <w:r>
              <w:rPr>
                <w:b/>
              </w:rPr>
              <w:t>rmse_test</w:t>
            </w:r>
          </w:p>
        </w:tc>
        <w:tc>
          <w:tcPr>
            <w:tcW w:type="dxa" w:w="1440"/>
          </w:tcPr>
          <w:p>
            <w:r>
              <w:rPr>
                <w:b/>
              </w:rPr>
              <w:t>cv_r2_media</w:t>
            </w:r>
          </w:p>
        </w:tc>
        <w:tc>
          <w:tcPr>
            <w:tcW w:type="dxa" w:w="1440"/>
          </w:tcPr>
          <w:p>
            <w:r>
              <w:rPr>
                <w:b/>
              </w:rPr>
              <w:t>cv_r2_desv</w:t>
            </w:r>
          </w:p>
        </w:tc>
      </w:tr>
      <w:tr>
        <w:tc>
          <w:tcPr>
            <w:tcW w:type="dxa" w:w="1440"/>
          </w:tcPr>
          <w:p>
            <w:r>
              <w:t>Random Forest</w:t>
            </w:r>
          </w:p>
        </w:tc>
        <w:tc>
          <w:tcPr>
            <w:tcW w:type="dxa" w:w="1440"/>
          </w:tcPr>
          <w:p>
            <w:r>
              <w:t>1.0</w:t>
            </w:r>
          </w:p>
        </w:tc>
        <w:tc>
          <w:tcPr>
            <w:tcW w:type="dxa" w:w="1440"/>
          </w:tcPr>
          <w:p>
            <w:r>
              <w:t>0.048</w:t>
            </w:r>
          </w:p>
        </w:tc>
        <w:tc>
          <w:tcPr>
            <w:tcW w:type="dxa" w:w="1440"/>
          </w:tcPr>
          <w:p>
            <w:r>
              <w:t>0.092</w:t>
            </w:r>
          </w:p>
        </w:tc>
        <w:tc>
          <w:tcPr>
            <w:tcW w:type="dxa" w:w="1440"/>
          </w:tcPr>
          <w:p>
            <w:r>
              <w:t>1.0</w:t>
            </w:r>
          </w:p>
        </w:tc>
        <w:tc>
          <w:tcPr>
            <w:tcW w:type="dxa" w:w="1440"/>
          </w:tcPr>
          <w:p>
            <w:r>
              <w:t>0.0</w:t>
            </w:r>
          </w:p>
        </w:tc>
      </w:tr>
      <w:tr>
        <w:tc>
          <w:tcPr>
            <w:tcW w:type="dxa" w:w="1440"/>
          </w:tcPr>
          <w:p>
            <w:r>
              <w:t>Extra Trees</w:t>
            </w:r>
          </w:p>
        </w:tc>
        <w:tc>
          <w:tcPr>
            <w:tcW w:type="dxa" w:w="1440"/>
          </w:tcPr>
          <w:p>
            <w:r>
              <w:t>1.0</w:t>
            </w:r>
          </w:p>
        </w:tc>
        <w:tc>
          <w:tcPr>
            <w:tcW w:type="dxa" w:w="1440"/>
          </w:tcPr>
          <w:p>
            <w:r>
              <w:t>0.014</w:t>
            </w:r>
          </w:p>
        </w:tc>
        <w:tc>
          <w:tcPr>
            <w:tcW w:type="dxa" w:w="1440"/>
          </w:tcPr>
          <w:p>
            <w:r>
              <w:t>0.026</w:t>
            </w:r>
          </w:p>
        </w:tc>
        <w:tc>
          <w:tcPr>
            <w:tcW w:type="dxa" w:w="1440"/>
          </w:tcPr>
          <w:p>
            <w:r>
              <w:t>1.0</w:t>
            </w:r>
          </w:p>
        </w:tc>
        <w:tc>
          <w:tcPr>
            <w:tcW w:type="dxa" w:w="1440"/>
          </w:tcPr>
          <w:p>
            <w:r>
              <w:t>0.0</w:t>
            </w:r>
          </w:p>
        </w:tc>
      </w:tr>
      <w:tr>
        <w:tc>
          <w:tcPr>
            <w:tcW w:type="dxa" w:w="1440"/>
          </w:tcPr>
          <w:p>
            <w:r>
              <w:t>Gradient Boosting</w:t>
            </w:r>
          </w:p>
        </w:tc>
        <w:tc>
          <w:tcPr>
            <w:tcW w:type="dxa" w:w="1440"/>
          </w:tcPr>
          <w:p>
            <w:r>
              <w:t>0.9996</w:t>
            </w:r>
          </w:p>
        </w:tc>
        <w:tc>
          <w:tcPr>
            <w:tcW w:type="dxa" w:w="1440"/>
          </w:tcPr>
          <w:p>
            <w:r>
              <w:t>0.205</w:t>
            </w:r>
          </w:p>
        </w:tc>
        <w:tc>
          <w:tcPr>
            <w:tcW w:type="dxa" w:w="1440"/>
          </w:tcPr>
          <w:p>
            <w:r>
              <w:t>0.373</w:t>
            </w:r>
          </w:p>
        </w:tc>
        <w:tc>
          <w:tcPr>
            <w:tcW w:type="dxa" w:w="1440"/>
          </w:tcPr>
          <w:p>
            <w:r>
              <w:t>0.9997</w:t>
            </w:r>
          </w:p>
        </w:tc>
        <w:tc>
          <w:tcPr>
            <w:tcW w:type="dxa" w:w="1440"/>
          </w:tcPr>
          <w:p>
            <w:r>
              <w:t>0.0001</w:t>
            </w:r>
          </w:p>
        </w:tc>
      </w:tr>
      <w:tr>
        <w:tc>
          <w:tcPr>
            <w:tcW w:type="dxa" w:w="1440"/>
          </w:tcPr>
          <w:p>
            <w:r>
              <w:t>Regresión lineal (base)</w:t>
            </w:r>
          </w:p>
        </w:tc>
        <w:tc>
          <w:tcPr>
            <w:tcW w:type="dxa" w:w="1440"/>
          </w:tcPr>
          <w:p>
            <w:r>
              <w:t>0.9629</w:t>
            </w:r>
          </w:p>
        </w:tc>
        <w:tc>
          <w:tcPr>
            <w:tcW w:type="dxa" w:w="1440"/>
          </w:tcPr>
          <w:p>
            <w:r>
              <w:t>3.024</w:t>
            </w:r>
          </w:p>
        </w:tc>
        <w:tc>
          <w:tcPr>
            <w:tcW w:type="dxa" w:w="1440"/>
          </w:tcPr>
          <w:p>
            <w:r>
              <w:t>3.798</w:t>
            </w:r>
          </w:p>
        </w:tc>
        <w:tc>
          <w:tcPr>
            <w:tcW w:type="dxa" w:w="1440"/>
          </w:tcPr>
          <w:p>
            <w:r>
              <w:t>0.9624</w:t>
            </w:r>
          </w:p>
        </w:tc>
        <w:tc>
          <w:tcPr>
            <w:tcW w:type="dxa" w:w="1440"/>
          </w:tcPr>
          <w:p>
            <w:r>
              <w:t>0.0029</w:t>
            </w:r>
          </w:p>
        </w:tc>
      </w:tr>
      <w:tr>
        <w:tc>
          <w:tcPr>
            <w:tcW w:type="dxa" w:w="1440"/>
          </w:tcPr>
          <w:p>
            <w:r>
              <w:t>Ridge (regularizado)</w:t>
            </w:r>
          </w:p>
        </w:tc>
        <w:tc>
          <w:tcPr>
            <w:tcW w:type="dxa" w:w="1440"/>
          </w:tcPr>
          <w:p>
            <w:r>
              <w:t>0.9629</w:t>
            </w:r>
          </w:p>
        </w:tc>
        <w:tc>
          <w:tcPr>
            <w:tcW w:type="dxa" w:w="1440"/>
          </w:tcPr>
          <w:p>
            <w:r>
              <w:t>3.024</w:t>
            </w:r>
          </w:p>
        </w:tc>
        <w:tc>
          <w:tcPr>
            <w:tcW w:type="dxa" w:w="1440"/>
          </w:tcPr>
          <w:p>
            <w:r>
              <w:t>3.799</w:t>
            </w:r>
          </w:p>
        </w:tc>
        <w:tc>
          <w:tcPr>
            <w:tcW w:type="dxa" w:w="1440"/>
          </w:tcPr>
          <w:p>
            <w:r>
              <w:t>0.9624</w:t>
            </w:r>
          </w:p>
        </w:tc>
        <w:tc>
          <w:tcPr>
            <w:tcW w:type="dxa" w:w="1440"/>
          </w:tcPr>
          <w:p>
            <w:r>
              <w:t>0.0029</w:t>
            </w:r>
          </w:p>
        </w:tc>
      </w:tr>
    </w:tbl>
    <w:p>
      <w:pPr>
        <w:jc w:val="left"/>
      </w:pPr>
      <w:r>
        <w:rPr>
          <w:i/>
          <w:sz w:val="18"/>
        </w:rPr>
        <w:t>Tabla. Comparación de los cinco modelos evaluados. R², MAE y RMSE sobre el conjunto de prueba, y R² medio con su desviación entre particiones de validación cruzada. Los tres ensambles superan el criterio de éxito de R² ≥ 0,85.</w:t>
      </w:r>
    </w:p>
    <w:p>
      <w:r>
        <w:t xml:space="preserve">Los tres ensambles de árboles superaron el criterio de éxito establecido (R² ≥ 0,85), mientras que los modelos lineales quedaron en R² = 0,963. El ensamble </w:t>
      </w:r>
      <w:r>
        <w:rPr>
          <w:b/>
        </w:rPr>
        <w:t>Extra Trees</w:t>
      </w:r>
      <w:r>
        <w:t xml:space="preserve"> obtuvo el mejor desempeño: R² = 1,000 en prueba, MAE = 0,014 puntos porcentuales y RMSE = 0,026, con una desviación estándar de cero entre las diez particiones de validación cruzada. </w:t>
      </w:r>
      <w:r>
        <w:rPr>
          <w:i/>
        </w:rPr>
        <w:t>Random Forest</w:t>
      </w:r>
      <w:r>
        <w:t xml:space="preserve"> alcanzó valores idénticos en R² pero con un MAE más de tres veces superior (0,048). </w:t>
      </w:r>
      <w:r>
        <w:rPr>
          <w:i/>
        </w:rPr>
        <w:t>Gradient Boosting</w:t>
      </w:r>
      <w:r>
        <w:t xml:space="preserve"> quedó ligeramente por debajo (R² = 0,9996).</w:t>
      </w:r>
    </w:p>
    <w:p>
      <w:r>
        <w:t xml:space="preserve">La </w:t>
      </w:r>
      <w:r>
        <w:rPr>
          <w:b/>
        </w:rPr>
        <w:t>Figura 3</w:t>
      </w:r>
      <w:r>
        <w:t xml:space="preserve"> compara visualmente el coeficiente de determinación en prueba y en validación cruzada. La equivalencia entre ambas métricas para cada modelo descarta sobreajuste: el desempeño se mantiene estable fuera de la partición de entrenamiento.</w:t>
      </w:r>
    </w:p>
    <w:p>
      <w:pPr>
        <w:jc w:val="center"/>
      </w:pPr>
      <w:r>
        <w:drawing>
          <wp:inline xmlns:a="http://schemas.openxmlformats.org/drawingml/2006/main" xmlns:pic="http://schemas.openxmlformats.org/drawingml/2006/picture">
            <wp:extent cx="5580000" cy="2737931"/>
            <wp:docPr id="3" name="Picture 3"/>
            <wp:cNvGraphicFramePr>
              <a:graphicFrameLocks noChangeAspect="1"/>
            </wp:cNvGraphicFramePr>
            <a:graphic>
              <a:graphicData uri="http://schemas.openxmlformats.org/drawingml/2006/picture">
                <pic:pic>
                  <pic:nvPicPr>
                    <pic:cNvPr id="0" name="fig04_comparacion_modelos.png"/>
                    <pic:cNvPicPr/>
                  </pic:nvPicPr>
                  <pic:blipFill>
                    <a:blip r:embed="rId11"/>
                    <a:stretch>
                      <a:fillRect/>
                    </a:stretch>
                  </pic:blipFill>
                  <pic:spPr>
                    <a:xfrm>
                      <a:off x="0" y="0"/>
                      <a:ext cx="5580000" cy="2737931"/>
                    </a:xfrm>
                    <a:prstGeom prst="rect"/>
                  </pic:spPr>
                </pic:pic>
              </a:graphicData>
            </a:graphic>
          </wp:inline>
        </w:drawing>
      </w:r>
    </w:p>
    <w:p>
      <w:pPr>
        <w:jc w:val="center"/>
      </w:pPr>
      <w:r>
        <w:rPr>
          <w:i/>
          <w:sz w:val="18"/>
        </w:rPr>
        <w:t>Figura. Comparación del coeficiente de determinación en prueba y en validación cruzada para los cinco modelos evaluados. La proximidad entre ambas barras en cada modelo indica ausencia de sobreajuste.</w:t>
      </w:r>
    </w:p>
    <w:p>
      <w:r>
        <w:t xml:space="preserve">La </w:t>
      </w:r>
      <w:r>
        <w:rPr>
          <w:b/>
        </w:rPr>
        <w:t>Figura 4</w:t>
      </w:r>
      <w:r>
        <w:t xml:space="preserve"> presenta la dispersión de valores predichos frente a observados para el modelo seleccionado, con alineación prácticamente perfecta respecto de la recta identidad y sin patrones de desviación sistemática en ningún segmento del rango.</w:t>
      </w:r>
    </w:p>
    <w:p>
      <w:pPr>
        <w:jc w:val="center"/>
      </w:pPr>
      <w:r>
        <w:drawing>
          <wp:inline xmlns:a="http://schemas.openxmlformats.org/drawingml/2006/main" xmlns:pic="http://schemas.openxmlformats.org/drawingml/2006/picture">
            <wp:extent cx="5580000" cy="5155947"/>
            <wp:docPr id="4" name="Picture 4"/>
            <wp:cNvGraphicFramePr>
              <a:graphicFrameLocks noChangeAspect="1"/>
            </wp:cNvGraphicFramePr>
            <a:graphic>
              <a:graphicData uri="http://schemas.openxmlformats.org/drawingml/2006/picture">
                <pic:pic>
                  <pic:nvPicPr>
                    <pic:cNvPr id="0" name="fig05_predicho_observado.png"/>
                    <pic:cNvPicPr/>
                  </pic:nvPicPr>
                  <pic:blipFill>
                    <a:blip r:embed="rId12"/>
                    <a:stretch>
                      <a:fillRect/>
                    </a:stretch>
                  </pic:blipFill>
                  <pic:spPr>
                    <a:xfrm>
                      <a:off x="0" y="0"/>
                      <a:ext cx="5580000" cy="5155947"/>
                    </a:xfrm>
                    <a:prstGeom prst="rect"/>
                  </pic:spPr>
                </pic:pic>
              </a:graphicData>
            </a:graphic>
          </wp:inline>
        </w:drawing>
      </w:r>
    </w:p>
    <w:p>
      <w:pPr>
        <w:jc w:val="center"/>
      </w:pPr>
      <w:r>
        <w:rPr>
          <w:i/>
          <w:sz w:val="18"/>
        </w:rPr>
        <w:t>Figura. Valores predichos frente a observados para el modelo Extra Trees. La ausencia de curvatura o heterocedasticidad indica que el ensamble reproduce la superficie de respuesta del motor sin sesgo direccional.</w:t>
      </w:r>
    </w:p>
    <w:p>
      <w:pPr>
        <w:pStyle w:val="Heading2"/>
      </w:pPr>
      <w:r>
        <w:t>Validación estadística</w:t>
      </w:r>
    </w:p>
    <w:p>
      <w:r>
        <w:t xml:space="preserve">La </w:t>
      </w:r>
      <w:r>
        <w:rPr>
          <w:b/>
        </w:rPr>
        <w:t>Tabla 5</w:t>
      </w:r>
      <w:r>
        <w:t xml:space="preserve"> reporta el contraste del mejor modelo frente a cada alternativa, empleando la t de Student pareada sobre los puntajes por partición.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comparacion</w:t>
            </w:r>
          </w:p>
        </w:tc>
        <w:tc>
          <w:tcPr>
            <w:tcW w:type="dxa" w:w="1440"/>
          </w:tcPr>
          <w:p>
            <w:r>
              <w:rPr>
                <w:b/>
              </w:rPr>
              <w:t>t_pareada</w:t>
            </w:r>
          </w:p>
        </w:tc>
        <w:tc>
          <w:tcPr>
            <w:tcW w:type="dxa" w:w="1440"/>
          </w:tcPr>
          <w:p>
            <w:r>
              <w:rPr>
                <w:b/>
              </w:rPr>
              <w:t>p_t</w:t>
            </w:r>
          </w:p>
        </w:tc>
        <w:tc>
          <w:tcPr>
            <w:tcW w:type="dxa" w:w="1440"/>
          </w:tcPr>
          <w:p>
            <w:r>
              <w:rPr>
                <w:b/>
              </w:rPr>
              <w:t>wilcoxon_stat</w:t>
            </w:r>
          </w:p>
        </w:tc>
        <w:tc>
          <w:tcPr>
            <w:tcW w:type="dxa" w:w="1440"/>
          </w:tcPr>
          <w:p>
            <w:r>
              <w:rPr>
                <w:b/>
              </w:rPr>
              <w:t>p_wilcoxon</w:t>
            </w:r>
          </w:p>
        </w:tc>
        <w:tc>
          <w:tcPr>
            <w:tcW w:type="dxa" w:w="1440"/>
          </w:tcPr>
          <w:p>
            <w:r>
              <w:rPr>
                <w:b/>
              </w:rPr>
              <w:t>significativo_0.05</w:t>
            </w:r>
          </w:p>
        </w:tc>
      </w:tr>
      <w:tr>
        <w:tc>
          <w:tcPr>
            <w:tcW w:type="dxa" w:w="1440"/>
          </w:tcPr>
          <w:p>
            <w:r>
              <w:t>Extra Trees vs Regresión lineal (base)</w:t>
            </w:r>
          </w:p>
        </w:tc>
        <w:tc>
          <w:tcPr>
            <w:tcW w:type="dxa" w:w="1440"/>
          </w:tcPr>
          <w:p>
            <w:r>
              <w:t>25.9138</w:t>
            </w:r>
          </w:p>
        </w:tc>
        <w:tc>
          <w:tcPr>
            <w:tcW w:type="dxa" w:w="1440"/>
          </w:tcPr>
          <w:p>
            <w:r>
              <w:t>0.0</w:t>
            </w:r>
          </w:p>
        </w:tc>
        <w:tc>
          <w:tcPr>
            <w:tcW w:type="dxa" w:w="1440"/>
          </w:tcPr>
          <w:p>
            <w:r>
              <w:t>0.0</w:t>
            </w:r>
          </w:p>
        </w:tc>
        <w:tc>
          <w:tcPr>
            <w:tcW w:type="dxa" w:w="1440"/>
          </w:tcPr>
          <w:p>
            <w:r>
              <w:t>0.0625</w:t>
            </w:r>
          </w:p>
        </w:tc>
        <w:tc>
          <w:tcPr>
            <w:tcW w:type="dxa" w:w="1440"/>
          </w:tcPr>
          <w:p>
            <w:r>
              <w:t>True</w:t>
            </w:r>
          </w:p>
        </w:tc>
      </w:tr>
      <w:tr>
        <w:tc>
          <w:tcPr>
            <w:tcW w:type="dxa" w:w="1440"/>
          </w:tcPr>
          <w:p>
            <w:r>
              <w:t>Extra Trees vs Ridge (regularizado)</w:t>
            </w:r>
          </w:p>
        </w:tc>
        <w:tc>
          <w:tcPr>
            <w:tcW w:type="dxa" w:w="1440"/>
          </w:tcPr>
          <w:p>
            <w:r>
              <w:t>25.8727</w:t>
            </w:r>
          </w:p>
        </w:tc>
        <w:tc>
          <w:tcPr>
            <w:tcW w:type="dxa" w:w="1440"/>
          </w:tcPr>
          <w:p>
            <w:r>
              <w:t>0.0</w:t>
            </w:r>
          </w:p>
        </w:tc>
        <w:tc>
          <w:tcPr>
            <w:tcW w:type="dxa" w:w="1440"/>
          </w:tcPr>
          <w:p>
            <w:r>
              <w:t>0.0</w:t>
            </w:r>
          </w:p>
        </w:tc>
        <w:tc>
          <w:tcPr>
            <w:tcW w:type="dxa" w:w="1440"/>
          </w:tcPr>
          <w:p>
            <w:r>
              <w:t>0.0625</w:t>
            </w:r>
          </w:p>
        </w:tc>
        <w:tc>
          <w:tcPr>
            <w:tcW w:type="dxa" w:w="1440"/>
          </w:tcPr>
          <w:p>
            <w:r>
              <w:t>True</w:t>
            </w:r>
          </w:p>
        </w:tc>
      </w:tr>
      <w:tr>
        <w:tc>
          <w:tcPr>
            <w:tcW w:type="dxa" w:w="1440"/>
          </w:tcPr>
          <w:p>
            <w:r>
              <w:t>Extra Trees vs Random Forest</w:t>
            </w:r>
          </w:p>
        </w:tc>
        <w:tc>
          <w:tcPr>
            <w:tcW w:type="dxa" w:w="1440"/>
          </w:tcPr>
          <w:p>
            <w:r>
              <w:t>5.2255</w:t>
            </w:r>
          </w:p>
        </w:tc>
        <w:tc>
          <w:tcPr>
            <w:tcW w:type="dxa" w:w="1440"/>
          </w:tcPr>
          <w:p>
            <w:r>
              <w:t>0.0064</w:t>
            </w:r>
          </w:p>
        </w:tc>
        <w:tc>
          <w:tcPr>
            <w:tcW w:type="dxa" w:w="1440"/>
          </w:tcPr>
          <w:p>
            <w:r>
              <w:t>0.0</w:t>
            </w:r>
          </w:p>
        </w:tc>
        <w:tc>
          <w:tcPr>
            <w:tcW w:type="dxa" w:w="1440"/>
          </w:tcPr>
          <w:p>
            <w:r>
              <w:t>0.0625</w:t>
            </w:r>
          </w:p>
        </w:tc>
        <w:tc>
          <w:tcPr>
            <w:tcW w:type="dxa" w:w="1440"/>
          </w:tcPr>
          <w:p>
            <w:r>
              <w:t>True</w:t>
            </w:r>
          </w:p>
        </w:tc>
      </w:tr>
      <w:tr>
        <w:tc>
          <w:tcPr>
            <w:tcW w:type="dxa" w:w="1440"/>
          </w:tcPr>
          <w:p>
            <w:r>
              <w:t>Extra Trees vs Gradient Boosting</w:t>
            </w:r>
          </w:p>
        </w:tc>
        <w:tc>
          <w:tcPr>
            <w:tcW w:type="dxa" w:w="1440"/>
          </w:tcPr>
          <w:p>
            <w:r>
              <w:t>7.4934</w:t>
            </w:r>
          </w:p>
        </w:tc>
        <w:tc>
          <w:tcPr>
            <w:tcW w:type="dxa" w:w="1440"/>
          </w:tcPr>
          <w:p>
            <w:r>
              <w:t>0.0017</w:t>
            </w:r>
          </w:p>
        </w:tc>
        <w:tc>
          <w:tcPr>
            <w:tcW w:type="dxa" w:w="1440"/>
          </w:tcPr>
          <w:p>
            <w:r>
              <w:t>0.0</w:t>
            </w:r>
          </w:p>
        </w:tc>
        <w:tc>
          <w:tcPr>
            <w:tcW w:type="dxa" w:w="1440"/>
          </w:tcPr>
          <w:p>
            <w:r>
              <w:t>0.0625</w:t>
            </w:r>
          </w:p>
        </w:tc>
        <w:tc>
          <w:tcPr>
            <w:tcW w:type="dxa" w:w="1440"/>
          </w:tcPr>
          <w:p>
            <w:r>
              <w:t>True</w:t>
            </w:r>
          </w:p>
        </w:tc>
      </w:tr>
    </w:tbl>
    <w:p>
      <w:pPr>
        <w:jc w:val="left"/>
      </w:pPr>
      <w:r>
        <w:rPr>
          <w:i/>
          <w:sz w:val="18"/>
        </w:rPr>
        <w:t>Tabla. Pruebas de significancia estadística del modelo Extra Trees frente a los modelos alternativos (t pareada y Wilcoxon sobre particiones de validación cruzada).</w:t>
      </w:r>
    </w:p>
    <w:p>
      <w:r>
        <w:t xml:space="preserve">Todas las comparaciones resultaron estadísticamente significativas con p &lt; 0,01. La diferencia frente a los modelos lineales alcanzó un estadístico t de 25,91, y frente a </w:t>
      </w:r>
      <w:r>
        <w:rPr>
          <w:i/>
        </w:rPr>
        <w:t>Random Forest</w:t>
      </w:r>
      <w:r>
        <w:t xml:space="preserve"> y </w:t>
      </w:r>
      <w:r>
        <w:rPr>
          <w:i/>
        </w:rPr>
        <w:t>Gradient Boosting</w:t>
      </w:r>
      <w:r>
        <w:t xml:space="preserve"> valores de 5,23 y 7,49 respectivamente. Es importante señalar que la prueba de Wilcoxon, al operar sobre solo diez particiones, presenta la máxima granularidad posible (p = 0,0625), limitación intrínseca del tamaño muestral de particiones y no evidencia de ausencia de efecto.</w:t>
      </w:r>
    </w:p>
    <w:p>
      <w:r>
        <w:t>El intervalo de confianza del 95 % para el error absoluto medio, obtenido por remuestreo bootstrap con 500 réplicas, se situó en [0,012; 0,016] puntos porcentuales, con una media de 0,014. La estrechez del intervalo confirma la estabilidad del desempeño entre remuestreos.</w:t>
      </w:r>
    </w:p>
    <w:p>
      <w:r>
        <w:t>La prueba de Shapiro-Wilk sobre los residuales resultó significativa (W = 0,768; p &lt; 0,001), indicando que los errores no siguen una distribución normal. Este hallazgo justifica la inclusión de la prueba no paramétrica de Wilcoxon como contraste complementario y refuerza la robustez de la conclusión: pese a la no normalidad, ambas pruebas convergen en la superioridad del ensamble.</w:t>
      </w:r>
    </w:p>
    <w:p>
      <w:r>
        <w:t>La magnitud de esa no normalidad merece precisión. Dado que los residuales presentan una distribución de colas marcadamente concentradas —con la mayoría de los errores próximos a cero—, la desviación respecto de la normalidad refleja una precisión superior a la que el supuesto paramétrico anticiparía, no un defecto del modelo. Este patrón es característico de los emuladores sobre modelos deterministas, donde la superficie de respuesta carece del ruido aleatorio que habitualmente produce residuales gaussianos.</w:t>
      </w:r>
    </w:p>
    <w:p>
      <w:pPr>
        <w:pStyle w:val="Heading2"/>
      </w:pPr>
      <w:r>
        <w:t>Interpretabilidad y explicabilidad</w:t>
      </w:r>
    </w:p>
    <w:p>
      <w:r>
        <w:t xml:space="preserve">La </w:t>
      </w:r>
      <w:r>
        <w:rPr>
          <w:b/>
        </w:rPr>
        <w:t>Tabla 6</w:t>
      </w:r>
      <w:r>
        <w:t xml:space="preserve"> presenta la importancia por permutación de cada variable, con su variabilidad sobre diez repeticiones.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importancia_media</w:t>
            </w:r>
          </w:p>
        </w:tc>
        <w:tc>
          <w:tcPr>
            <w:tcW w:type="dxa" w:w="2880"/>
          </w:tcPr>
          <w:p>
            <w:r>
              <w:rPr>
                <w:b/>
              </w:rPr>
              <w:t>desv_std</w:t>
            </w:r>
          </w:p>
        </w:tc>
      </w:tr>
      <w:tr>
        <w:tc>
          <w:tcPr>
            <w:tcW w:type="dxa" w:w="2880"/>
          </w:tcPr>
          <w:p>
            <w:r>
              <w:t>sea_level_rise_code</w:t>
            </w:r>
          </w:p>
        </w:tc>
        <w:tc>
          <w:tcPr>
            <w:tcW w:type="dxa" w:w="2880"/>
          </w:tcPr>
          <w:p>
            <w:r>
              <w:t>1.0707</w:t>
            </w:r>
          </w:p>
        </w:tc>
        <w:tc>
          <w:tcPr>
            <w:tcW w:type="dxa" w:w="2880"/>
          </w:tcPr>
          <w:p>
            <w:r>
              <w:t>0.05267</w:t>
            </w:r>
          </w:p>
        </w:tc>
      </w:tr>
      <w:tr>
        <w:tc>
          <w:tcPr>
            <w:tcW w:type="dxa" w:w="2880"/>
          </w:tcPr>
          <w:p>
            <w:r>
              <w:t>restoration_level</w:t>
            </w:r>
          </w:p>
        </w:tc>
        <w:tc>
          <w:tcPr>
            <w:tcW w:type="dxa" w:w="2880"/>
          </w:tcPr>
          <w:p>
            <w:r>
              <w:t>0.8392</w:t>
            </w:r>
          </w:p>
        </w:tc>
        <w:tc>
          <w:tcPr>
            <w:tcW w:type="dxa" w:w="2880"/>
          </w:tcPr>
          <w:p>
            <w:r>
              <w:t>0.04551</w:t>
            </w:r>
          </w:p>
        </w:tc>
      </w:tr>
      <w:tr>
        <w:tc>
          <w:tcPr>
            <w:tcW w:type="dxa" w:w="2880"/>
          </w:tcPr>
          <w:p>
            <w:r>
              <w:t>horizon_year</w:t>
            </w:r>
          </w:p>
        </w:tc>
        <w:tc>
          <w:tcPr>
            <w:tcW w:type="dxa" w:w="2880"/>
          </w:tcPr>
          <w:p>
            <w:r>
              <w:t>0.0</w:t>
            </w:r>
          </w:p>
        </w:tc>
        <w:tc>
          <w:tcPr>
            <w:tcW w:type="dxa" w:w="2880"/>
          </w:tcPr>
          <w:p>
            <w:r>
              <w:t>0.0</w:t>
            </w:r>
          </w:p>
        </w:tc>
      </w:tr>
      <w:tr>
        <w:tc>
          <w:tcPr>
            <w:tcW w:type="dxa" w:w="2880"/>
          </w:tcPr>
          <w:p>
            <w:r>
              <w:t>baseline_area_ha</w:t>
            </w:r>
          </w:p>
        </w:tc>
        <w:tc>
          <w:tcPr>
            <w:tcW w:type="dxa" w:w="2880"/>
          </w:tcPr>
          <w:p>
            <w:r>
              <w:t>0.0</w:t>
            </w:r>
          </w:p>
        </w:tc>
        <w:tc>
          <w:tcPr>
            <w:tcW w:type="dxa" w:w="2880"/>
          </w:tcPr>
          <w:p>
            <w:r>
              <w:t>0.0</w:t>
            </w:r>
          </w:p>
        </w:tc>
      </w:tr>
      <w:tr>
        <w:tc>
          <w:tcPr>
            <w:tcW w:type="dxa" w:w="2880"/>
          </w:tcPr>
          <w:p>
            <w:r>
              <w:t>baseline_carbon_density</w:t>
            </w:r>
          </w:p>
        </w:tc>
        <w:tc>
          <w:tcPr>
            <w:tcW w:type="dxa" w:w="2880"/>
          </w:tcPr>
          <w:p>
            <w:r>
              <w:t>0.0</w:t>
            </w:r>
          </w:p>
        </w:tc>
        <w:tc>
          <w:tcPr>
            <w:tcW w:type="dxa" w:w="2880"/>
          </w:tcPr>
          <w:p>
            <w:r>
              <w:t>0.0</w:t>
            </w:r>
          </w:p>
        </w:tc>
      </w:tr>
      <w:tr>
        <w:tc>
          <w:tcPr>
            <w:tcW w:type="dxa" w:w="2880"/>
          </w:tcPr>
          <w:p>
            <w:r>
              <w:t>ndvi</w:t>
            </w:r>
          </w:p>
        </w:tc>
        <w:tc>
          <w:tcPr>
            <w:tcW w:type="dxa" w:w="2880"/>
          </w:tcPr>
          <w:p>
            <w:r>
              <w:t>-0.0</w:t>
            </w:r>
          </w:p>
        </w:tc>
        <w:tc>
          <w:tcPr>
            <w:tcW w:type="dxa" w:w="2880"/>
          </w:tcPr>
          <w:p>
            <w:r>
              <w:t>0.0</w:t>
            </w:r>
          </w:p>
        </w:tc>
      </w:tr>
    </w:tbl>
    <w:p>
      <w:pPr>
        <w:jc w:val="left"/>
      </w:pPr>
      <w:r>
        <w:rPr>
          <w:i/>
          <w:sz w:val="18"/>
        </w:rPr>
        <w:t>Tabla. Importancia por permutación de las variables del modelo Extra Trees (10 repeticiones). La desviación estándar reducida en las variables relevantes confirma la estabilidad de la estimación.</w:t>
      </w:r>
    </w:p>
    <w:p>
      <w:r>
        <w:t xml:space="preserve">La </w:t>
      </w:r>
      <w:r>
        <w:rPr>
          <w:b/>
        </w:rPr>
        <w:t>Figura 5</w:t>
      </w:r>
      <w:r>
        <w:t xml:space="preserve"> representa gráficamente esa jerarquía de contribuciones, con barras de error correspondientes a las diez repeticiones.</w:t>
      </w:r>
    </w:p>
    <w:p>
      <w:pPr>
        <w:jc w:val="center"/>
      </w:pPr>
      <w:r>
        <w:drawing>
          <wp:inline xmlns:a="http://schemas.openxmlformats.org/drawingml/2006/main" xmlns:pic="http://schemas.openxmlformats.org/drawingml/2006/picture">
            <wp:extent cx="5580000" cy="3489558"/>
            <wp:docPr id="5" name="Picture 5"/>
            <wp:cNvGraphicFramePr>
              <a:graphicFrameLocks noChangeAspect="1"/>
            </wp:cNvGraphicFramePr>
            <a:graphic>
              <a:graphicData uri="http://schemas.openxmlformats.org/drawingml/2006/picture">
                <pic:pic>
                  <pic:nvPicPr>
                    <pic:cNvPr id="0" name="fig07_importancia.png"/>
                    <pic:cNvPicPr/>
                  </pic:nvPicPr>
                  <pic:blipFill>
                    <a:blip r:embed="rId13"/>
                    <a:stretch>
                      <a:fillRect/>
                    </a:stretch>
                  </pic:blipFill>
                  <pic:spPr>
                    <a:xfrm>
                      <a:off x="0" y="0"/>
                      <a:ext cx="5580000" cy="3489558"/>
                    </a:xfrm>
                    <a:prstGeom prst="rect"/>
                  </pic:spPr>
                </pic:pic>
              </a:graphicData>
            </a:graphic>
          </wp:inline>
        </w:drawing>
      </w:r>
    </w:p>
    <w:p>
      <w:pPr>
        <w:jc w:val="center"/>
      </w:pPr>
      <w:r>
        <w:rPr>
          <w:i/>
          <w:sz w:val="18"/>
        </w:rPr>
        <w:t>Figura. Importancia por permutación de las variables del modelo Extra Trees, con barras de error correspondientes a diez repeticiones.</w:t>
      </w:r>
    </w:p>
    <w:p>
      <w:r>
        <w:t>El escenario de ascenso del nivel del mar encabezó la contribución (importancia media = 1,071), seguido del nivel de restauración hidrológica (0,839). Ambas variables exhibieron desviaciones estándar pequeñas (0,053 y 0,046), lo que indica estabilidad de la estimación. Las variables de horizonte temporal, área de línea base, densidad de carbono y NDVI presentaron importancia indistinguible de cero.</w:t>
      </w:r>
    </w:p>
    <w:p>
      <w:r>
        <w:t>Este resultado es sustantivamente relevante y no un artefacto. En la formulación del motor, la variación porcentual depende exclusivamente del nivel de restauración y del escenario de nivel del mar, mientras que el área y la densidad de línea base determinan el carbono absoluto pero se cancelan en la razón porcentual. La coherencia entre la importancia empírica y la estructura del modelo físico constituye una validación indirecta del procedimiento de atribución.</w:t>
      </w:r>
    </w:p>
    <w:p>
      <w:r>
        <w:t>La distinción no es meramente técnica. Las variables descartadas —área y densidad de línea base— son precisamente las que determinan el carbono absoluto en riesgo, información crítica para la valorización económica del ecosistema. Un modelo optimizado únicamente para predecir la variación porcentual resulta ciego a esa dimensión, lo que refuerza la necesidad de exponer ambas métricas de manera conjunta en cualquier instrumento de apoyo a la decisión.</w:t>
      </w:r>
    </w:p>
    <w:p>
      <w:pPr>
        <w:pStyle w:val="Heading2"/>
      </w:pPr>
      <w:r>
        <w:t>Contraste de la hipótesis</w:t>
      </w:r>
    </w:p>
    <w:p>
      <w:r>
        <w:t xml:space="preserve">La </w:t>
      </w:r>
      <w:r>
        <w:rPr>
          <w:b/>
        </w:rPr>
        <w:t>Figura 6</w:t>
      </w:r>
      <w:r>
        <w:t xml:space="preserve"> desagrega la respuesta por tramo de restauración hidrológica, contrastándola con el umbral del +25 % postulado en la hipótesis.</w:t>
      </w:r>
    </w:p>
    <w:p>
      <w:pPr>
        <w:jc w:val="center"/>
      </w:pPr>
      <w:r>
        <w:drawing>
          <wp:inline xmlns:a="http://schemas.openxmlformats.org/drawingml/2006/main" xmlns:pic="http://schemas.openxmlformats.org/drawingml/2006/picture">
            <wp:extent cx="5580000" cy="3465703"/>
            <wp:docPr id="6" name="Picture 6"/>
            <wp:cNvGraphicFramePr>
              <a:graphicFrameLocks noChangeAspect="1"/>
            </wp:cNvGraphicFramePr>
            <a:graphic>
              <a:graphicData uri="http://schemas.openxmlformats.org/drawingml/2006/picture">
                <pic:pic>
                  <pic:nvPicPr>
                    <pic:cNvPr id="0" name="fig08_hipotesis.png"/>
                    <pic:cNvPicPr/>
                  </pic:nvPicPr>
                  <pic:blipFill>
                    <a:blip r:embed="rId14"/>
                    <a:stretch>
                      <a:fillRect/>
                    </a:stretch>
                  </pic:blipFill>
                  <pic:spPr>
                    <a:xfrm>
                      <a:off x="0" y="0"/>
                      <a:ext cx="5580000" cy="3465703"/>
                    </a:xfrm>
                    <a:prstGeom prst="rect"/>
                  </pic:spPr>
                </pic:pic>
              </a:graphicData>
            </a:graphic>
          </wp:inline>
        </w:drawing>
      </w:r>
    </w:p>
    <w:p>
      <w:pPr>
        <w:jc w:val="center"/>
      </w:pPr>
      <w:r>
        <w:rPr>
          <w:i/>
          <w:sz w:val="18"/>
        </w:rPr>
        <w:t>Figura. Variación media del carbono retenido por tramo de restauración hidrológica, contrastada con el umbral de la hipótesis del +25 %. La relación monótona creciente indica rendimientos decrecientes pero sostenidos.</w:t>
      </w:r>
    </w:p>
    <w:p>
      <w:r>
        <w:t>Los resultados muestran una relación monótona creciente entre el nivel de restauración y la variación de carbono. En el tramo de restauración baja (0-25 %), la variación media fue de −17,64 %, con pérdida neta de carbono. En el tramo medio-bajo (25-50 %) se alcanzó prácticamente el equilibrio (−1,92 %). El tramo medio-alto (50-75 %) registró una ganancia media de 5,79 %, con un 17,06 % de los escenarios superando el umbral. El tramo alto (75-100 %) alcanzó una ganancia media de 11,24 %, con un 34,85 % de los escenarios superando el umbral del +25 %.</w:t>
      </w:r>
    </w:p>
    <w:p>
      <w:r>
        <w:rPr>
          <w:b/>
        </w:rPr>
        <w:t>La hipótesis del +25 % no se verifica de forma general</w:t>
      </w:r>
      <w:r>
        <w:t>, sino condicional: únicamente el tramo de restauración más alto produce, en aproximadamente un tercio de los escenarios, incrementos que superan el umbral. La variación media de ese tramo (11,24 %) queda por debajo del valor postulado, lo que indica que la superación depende de la interacción con el escenario de nivel del mar y del horizonte temporal.</w:t>
      </w:r>
    </w:p>
    <w:p>
      <w:pPr>
        <w:pStyle w:val="Heading1"/>
      </w:pPr>
      <w:r>
        <w:t>Discusión</w:t>
      </w:r>
    </w:p>
    <w:p>
      <w:pPr>
        <w:pStyle w:val="Heading2"/>
      </w:pPr>
      <w:r>
        <w:t>Desempeño del emulador</w:t>
      </w:r>
    </w:p>
    <w:p>
      <w:r>
        <w:t>Los ensambles de árboles reprodujeron el motor determinista con una fidelidad prácticamente exacta. El modelo Extra Trees alcanzó un coeficiente de determinación de 1,000 con un error absoluto medio de 0,014 puntos porcentuales. Este nivel de precisión es característico de los emuladores entrenados sobre la salida de un modelo determinista: la superficie de respuesta es suave, libre de ruido de medición y completamente observable.</w:t>
      </w:r>
    </w:p>
    <w:p>
      <w:r>
        <w:t xml:space="preserve">La literatura sobre emulación de modelos físicos permite situar este resultado. Jiang et al. (2021) obtuvieron aceleraciones de hasta cuarenta y cinco veces respecto del modelo numérico de referencia mediante operadores neuronales informados por la física, manteniendo precisión en la predicción de la altura de la superficie del mar </w:t>
      </w:r>
      <w:r>
        <w:t>(Jiang et al., 2021)</w:t>
      </w:r>
      <w:r>
        <w:t>. La diferencia de enfoque es reveladora: mientras allí el objetivo era sustituir un modelo hidrodinámico de alto costo computacional conservando su fidelidad, aquí el emulador cumple una función distinta —habilitar la exploración exhaustiva del espacio de escenarios y alimentar una interfaz interactiva.</w:t>
      </w:r>
    </w:p>
    <w:p>
      <w:r>
        <w:t xml:space="preserve">Esa distinción explica también la brecha de rendimiento frente a los modelos lineales. Yang et al. (2024) advierten que muchos enfoques informados por la física restringen su alcance al uso de datos guía dispersos, aprovechando de manera ineficiente los resultados de simulación disponibles </w:t>
      </w:r>
      <w:r>
        <w:t>(Yang et al., 2024)</w:t>
      </w:r>
      <w:r>
        <w:t>. En el presente caso la superficie es completamente accesible, condición que favorece a los métodos de partición recursiva y que no se verifica en aplicaciones donde la simulación directa es prohibitiva.</w:t>
      </w:r>
    </w:p>
    <w:p>
      <w:r>
        <w:t xml:space="preserve">En consecuencia, estos resultados </w:t>
      </w:r>
      <w:r>
        <w:rPr>
          <w:b/>
        </w:rPr>
        <w:t>no deben interpretarse como evidencia de que el aprendizaje automático supera a los modelos mecanicistas en la predicción de carbono azul</w:t>
      </w:r>
      <w:r>
        <w:t>. La comparación relevante en la literatura involucra observaciones de campo con ruido, donde las diferencias entre familias de modelos son sustancialmente menores. El valor del emulador es instrumental y así debe declararse.</w:t>
      </w:r>
    </w:p>
    <w:p>
      <w:pPr>
        <w:pStyle w:val="Heading2"/>
      </w:pPr>
      <w:r>
        <w:t>Interpretabilidad y coherencia con el modelo físico</w:t>
      </w:r>
    </w:p>
    <w:p>
      <w:r>
        <w:t>El hallazgo más informativo del análisis de explicabilidad no fue qué variables resultaron importantes, sino que la atribución coincidió exactamente con la estructura algebraica del motor. El escenario de ascenso del nivel del mar y el nivel de restauración dominan la predicción; las variables de línea base se anulan en la razón porcentual.</w:t>
      </w:r>
    </w:p>
    <w:p>
      <w:r>
        <w:t>Esta coincidencia cumple una función de auditoría. Si la importancia por permutación hubiera asignado relevancia espuria a variables sin efecto algebraico, habría revelado un problema en el estimador o en la partición de datos. La consistencia observada constituye una validación indirecta del procedimiento y respalda su empleo como instrumento de verificación en sistemas donde la opacidad del modelo dificulta la inspección directa.</w:t>
      </w:r>
    </w:p>
    <w:p>
      <w:r>
        <w:t xml:space="preserve">El resultado ilustra además un principio de interpretabilidad frecuentemente desatendido: </w:t>
      </w:r>
      <w:r>
        <w:rPr>
          <w:b/>
        </w:rPr>
        <w:t>la distinción entre variables relevantes para el estado absoluto del sistema y variables relevantes para su cambio relativo</w:t>
      </w:r>
      <w:r>
        <w:t xml:space="preserve">. El área y la densidad de carbono determinan el stock total —información decisiva para la valorización económica del ecosistema </w:t>
      </w:r>
      <w:r>
        <w:t>(Twomey et al et al., 2024)</w:t>
      </w:r>
      <w:r>
        <w:t xml:space="preserve">— pero son irrelevantes para la variación porcentual modelada. Zia et al. (2025) advierten que los conjuntos de datos operacionales presentan habitualmente valores faltantes por fallas de sensores y condiciones climáticas adversas </w:t>
      </w:r>
      <w:r>
        <w:t>(Zia et al et al., 2025)</w:t>
      </w:r>
      <w:r>
        <w:t>; un modelo que descarte variables por su nula contribución a una métrica específica puede estar descartando precisamente las que sostienen otras dimensiones de la decisión.</w:t>
      </w:r>
    </w:p>
    <w:p>
      <w:r>
        <w:t xml:space="preserve">Durden (2025) insiste en que el desarrollo de gemelos digitales ambientales debe centrarse en resultados significativos para las necesidades del usuario y no en capacidades técnicas aisladas </w:t>
      </w:r>
      <w:r>
        <w:t>(Durden, 2025)</w:t>
      </w:r>
      <w:r>
        <w:t>. La distinción anterior es una aplicación concreta de ese principio: un administrador del Santuario que consulte únicamente la variación porcentual no obtendrá información sobre el carbono absoluto en riesgo, y viceversa. El panel desarrollado expone ambas dimensiones de forma explícita para evitar esa lectura parcial.</w:t>
      </w:r>
    </w:p>
    <w:p>
      <w:pPr>
        <w:pStyle w:val="Heading2"/>
      </w:pPr>
      <w:r>
        <w:t>Implicaciones para la hipótesis de restauración</w:t>
      </w:r>
    </w:p>
    <w:p>
      <w:r>
        <w:t>El contraste de la hipótesis arrojó un resultado más matizado que el postulado inicial. La afirmación de que la restauración hidrológica puede incrementar la retención de carbono en al menos un 25 % a 2050 no se sostiene de forma general, sino condicionalmente en el tramo de intervención más alto y con una probabilidad aproximada de un tercio.</w:t>
      </w:r>
    </w:p>
    <w:p>
      <w:r>
        <w:t xml:space="preserve">Este resultado dialoga directamente con la literatura sobre restauración de humedales costeros. Twomey et al. (2024) señalan que las guías para la restauración hidrológica siguen siendo limitadas y frecuentemente enfocadas en regiones, actividades o riesgos particulares </w:t>
      </w:r>
      <w:r>
        <w:t>(Twomey et al et al., 2024)</w:t>
      </w:r>
      <w:r>
        <w:t xml:space="preserve">, lo que sugiere que umbrales aspiracionales de alcance general difícilmente se sostienen sobre la evidencia disponible. Los mismos autores documentan que las funciones ecosistémicas influidas por el régimen hidrológico determinan servicios como la captura de carbono y la protección costera, pero que esa relación no es uniforme entre sitios </w:t>
      </w:r>
      <w:r>
        <w:t>(Twomey et al et al., 2024)</w:t>
      </w:r>
      <w:r>
        <w:t>.</w:t>
      </w:r>
    </w:p>
    <w:p>
      <w:r>
        <w:t xml:space="preserve">Buffington et al. (2021) aportan evidencia convergente al demostrar que tanto los escenarios de salinidad como las funciones de productividad resultan determinantes en la proyección de cómo puede cambiar la captura de carbono bajo ascenso del nivel del mar </w:t>
      </w:r>
      <w:r>
        <w:t>(Buffington et al et al., 2021)</w:t>
      </w:r>
      <w:r>
        <w:t>. El presente trabajo reproduce ese patrón: la superación del umbral depende de la interacción entre el nivel de restauración, el escenario de ascenso del mar y el horizonte temporal.</w:t>
      </w:r>
    </w:p>
    <w:p>
      <w:r>
        <w:t xml:space="preserve">La lectura operativa del hallazgo merece énfasis. Los tramos de restauración intermedios, lejos de ser inefectivos, producen el tránsito de la pérdida neta a la ganancia neta —de −17,64 % a −1,92 %—, lo que representa un beneficio sustancial aunque no alcance el umbral aspiracional. Lu et al. (2026) subrayan que el estado y la dinámica del ecosistema bajo escenarios futuros resultan esenciales para que las partes interesadas realicen una gestión proactiva orientada a conservar el ecosistema y apoyar su restauración </w:t>
      </w:r>
      <w:r>
        <w:t>(Lu et al et al., 2026)</w:t>
      </w:r>
      <w:r>
        <w:t>; un instrumento que cuantifique ese tránsito sirve a ese propósito aunque su resultado no confirme la hipótesis inicial.</w:t>
      </w:r>
    </w:p>
    <w:p>
      <w:pPr>
        <w:pStyle w:val="Heading2"/>
      </w:pPr>
      <w:r>
        <w:t>Trazabilidad, arquitectura y gobernanza</w:t>
      </w:r>
    </w:p>
    <w:p>
      <w:r>
        <w:t xml:space="preserve">La separación explícita entre la porción empírica y la porción simulada del dataset responde a una exigencia que la literatura formula con claridad. De Koning et al. (2023) advierten que el concepto de gemelo digital en ecología debe acompañarse de una discusión franca sobre sus limitaciones inherentes, para no generar expectativas que desorienten a modeladores, investigadores, responsables de política y gestores de recursos </w:t>
      </w:r>
      <w:r>
        <w:t>(de Koning et al., 2023)</w:t>
      </w:r>
      <w:r>
        <w:t xml:space="preserve">. Tzachor et al. (2023) extienden la advertencia al dominio oceánico, anticipando preocupaciones éticas e incertidumbres en la representación digital de los servicios ecosistémicos marinos </w:t>
      </w:r>
      <w:r>
        <w:t>(Tzachor et al et al., 2023)</w:t>
      </w:r>
      <w:r>
        <w:t>. Declarar qué parte del resultado descansa en observación y qué parte en proyección es una respuesta directa a esa exigencia.</w:t>
      </w:r>
    </w:p>
    <w:p>
      <w:r>
        <w:t xml:space="preserve">La disciplina de control de versiones sostuvo la trazabilidad del artefacto. Las 39 confirmaciones registradas documentan no solo la incorporación de funcionalidad, sino el ciclo completo de revisión: cada hallazgo de calidad detectado quedó asociado a una confirmación que registra su corrección. Jeffery et al. (2021) sostienen que la convergencia entre infraestructuras de datos aún no está resuelta </w:t>
      </w:r>
      <w:r>
        <w:t>(Jeffery et al., 2021)</w:t>
      </w:r>
      <w:r>
        <w:t>; el registro sistemático de cambios constituye una contribución modesta pero efectiva a la reproducibilidad en un contexto donde tales mecanismos son escasos.</w:t>
      </w:r>
    </w:p>
    <w:p>
      <w:r>
        <w:t xml:space="preserve">En cuanto a la gobernanza, Haraguchi et al. (2024) examinan las áreas específicas donde los gemelos digitales urbanos resultan efectivos y aquellas donde su impacto es acotado </w:t>
      </w:r>
      <w:r>
        <w:t>(Haraguchi et al et al., 2024)</w:t>
      </w:r>
      <w:r>
        <w:t xml:space="preserve">, mientras que Hananto y Veza (2025) proponen alinear estándares y prácticas mediante marcos de gobernanza explícitos </w:t>
      </w:r>
      <w:r>
        <w:t>(Hananto &amp; Veza, 2025)</w:t>
      </w:r>
      <w:r>
        <w:t xml:space="preserve">. DeVries (2024) identifica los desafíos de privacidad y soberanía de datos que emergen de estas tecnologías </w:t>
      </w:r>
      <w:r>
        <w:t>(DeVries, 2024)</w:t>
      </w:r>
      <w:r>
        <w:t xml:space="preserve">, y Garske et al. (2024) analizan el papel de la gobernanza de datos en la transición sostenible </w:t>
      </w:r>
      <w:r>
        <w:t>(Garske et al et al., 2024)</w:t>
      </w:r>
      <w:r>
        <w:t>. El presente trabajo no aborda estas dimensiones, lo que constituye una limitación respecto del estado del arte en la materia.</w:t>
      </w:r>
    </w:p>
    <w:p>
      <w:pPr>
        <w:pStyle w:val="Heading2"/>
      </w:pPr>
      <w:r>
        <w:t>Comparación con aplicaciones afines</w:t>
      </w:r>
    </w:p>
    <w:p>
      <w:r>
        <w:t xml:space="preserve">Vale contrastar el caso aquí presentado con implementaciones documentadas en dominios próximos. Henriksen et al. (2023) desarrollaron un gemelo digital para adaptación climática y gestión del agua, y establecieron que la profundidad del nivel freático constituye la variable determinante de las emisiones de carbono en suelos de turbera, siendo el conocimiento de la variabilidad hidrológica decisivo para guiar la restauración de turberas drenadas </w:t>
      </w:r>
      <w:r>
        <w:t>(Henriksen et al et al., 2023)</w:t>
      </w:r>
      <w:r>
        <w:t>. Existe aquí una convergencia conceptual: en ambos casos la variable hidrológica gobierna la respuesta del carbono, aunque los ecosistemas difieren.</w:t>
      </w:r>
    </w:p>
    <w:p>
      <w:r>
        <w:t xml:space="preserve">Rodríguez-Alonso et al. (2024) implementaron una plataforma para plantas de tratamiento de agua sobre arquitectura de microservicios, orientada a optimizar operación y mantenimiento mediante aprendizaje automático y simulación </w:t>
      </w:r>
      <w:r>
        <w:t>(Rodríguez-Alonso et al., 2024)</w:t>
      </w:r>
      <w:r>
        <w:t xml:space="preserve">. Alenezi y Alabaiadly (2026) revisan la aplicación de gemelos digitales y computación en el borde a sistemas hídricos pequeños y fuera de red </w:t>
      </w:r>
      <w:r>
        <w:t>(Alenezi &amp; Alabaiadly, 2026)</w:t>
      </w:r>
      <w:r>
        <w:t>. La arquitectura del presente trabajo es sustancialmente más simple: un módulo analítico monolítico con interfaz interactiva, sin la separación en servicios que caracteriza a las plataformas de producción. Esa simplicidad es deliberada y responde al alcance del prototipo, pero conviene reconocerla como diferencia respecto del estado del arte arquitectónico.</w:t>
      </w:r>
    </w:p>
    <w:p>
      <w:r>
        <w:t xml:space="preserve">En el plano de los datos, Aguzzi et al. (2025) demuestran que las plataformas robóticas generan datos marinos de alta resolución, pero señalan que persisten desafíos de cobertura espacial, continuidad temporal y representatividad ecológica </w:t>
      </w:r>
      <w:r>
        <w:t>(Aguzzi et al et al., 2025)</w:t>
      </w:r>
      <w:r>
        <w:t>. El presente trabajo depende de datos satelitales abiertos y literatura publicada, lo que garantiza cobertura temporal extensa pero limita la resolución espacial a la escala del sitio y restringe la actualización a la frecuencia de las series disponibles.</w:t>
      </w:r>
    </w:p>
    <w:p>
      <w:pPr>
        <w:pStyle w:val="Heading2"/>
      </w:pPr>
      <w:r>
        <w:t>Limitaciones</w:t>
      </w:r>
    </w:p>
    <w:p>
      <w:r>
        <w:t>El presente trabajo presenta cinco limitaciones que deben considerarse al interpretar sus resultados.</w:t>
      </w:r>
    </w:p>
    <w:p>
      <w:r>
        <w:t xml:space="preserve">La primera y más importante es que </w:t>
      </w:r>
      <w:r>
        <w:rPr>
          <w:b/>
        </w:rPr>
        <w:t>la variable objetivo es simulada</w:t>
      </w:r>
      <w:r>
        <w:t xml:space="preserve">. Aunque las covariables provienen de literatura publicada y la estructura del motor es coherente con la evidencia disponible, las métricas de desempeño cuantifican la fidelidad del emulador respecto del motor, no la capacidad predictiva sobre observaciones de campo. Twomey et al. (2024) advierten que los modelos de restauración hidrológica pueden no ser transferibles a otros sitios y que su capacidad predictiva queda restringida a las condiciones específicas de los datos empleados en su construcción </w:t>
      </w:r>
      <w:r>
        <w:t>(Twomey et al et al., 2024)</w:t>
      </w:r>
      <w:r>
        <w:t>; esa advertencia aplica íntegramente aquí.</w:t>
      </w:r>
    </w:p>
    <w:p>
      <w:r>
        <w:t xml:space="preserve">La segunda es la </w:t>
      </w:r>
      <w:r>
        <w:rPr>
          <w:b/>
        </w:rPr>
        <w:t>ausencia de estructura espacial</w:t>
      </w:r>
      <w:r>
        <w:t xml:space="preserve">. El modelo opera sobre valores agregados a escala de sitio, sin representar la heterogeneidad topográfica ni los gradientes de salinidad. Twomey et al. (2024) identifican precisamente la incertidumbre en los datos de elevación como limitación clave de los modelos de restauración </w:t>
      </w:r>
      <w:r>
        <w:t>(Twomey et al et al., 2024)</w:t>
      </w:r>
      <w:r>
        <w:t xml:space="preserve">, y Buffington et al. (2021) demuestran la sensibilidad de las proyecciones de carbono a los escenarios de salinidad </w:t>
      </w:r>
      <w:r>
        <w:t>(Buffington et al et al., 2021)</w:t>
      </w:r>
      <w:r>
        <w:t>.</w:t>
      </w:r>
    </w:p>
    <w:p>
      <w:r>
        <w:t xml:space="preserve">La tercera es la </w:t>
      </w:r>
      <w:r>
        <w:rPr>
          <w:b/>
        </w:rPr>
        <w:t>representación simplificada de la dinámica temporal</w:t>
      </w:r>
      <w:r>
        <w:t>, que emplea una progresión lineal entre el año inicial y el horizonte cuando las trayectorias reales de acreción y acumulación siguen patrones asintóticos.</w:t>
      </w:r>
    </w:p>
    <w:p>
      <w:r>
        <w:t xml:space="preserve">La cuarta es la </w:t>
      </w:r>
      <w:r>
        <w:rPr>
          <w:b/>
        </w:rPr>
        <w:t>granularidad del contraste estadístico</w:t>
      </w:r>
      <w:r>
        <w:t>. Con diez particiones de validación cruzada, la prueba de Wilcoxon alcanza su mínimo valor de probabilidad posible sin poder cruzar el umbral convencional de 0,05. Esta limitación es intrínseca al diseño y no a la magnitud del efecto; la prueba t pareada, que aprovecha la magnitud de las diferencias, alcanza significancia con p &lt; 0,001 en todas las comparaciones.</w:t>
      </w:r>
    </w:p>
    <w:p>
      <w:r>
        <w:t xml:space="preserve">La quinta es la </w:t>
      </w:r>
      <w:r>
        <w:rPr>
          <w:b/>
        </w:rPr>
        <w:t>ausencia de participación de actores</w:t>
      </w:r>
      <w:r>
        <w:t xml:space="preserve">. Durden (2025) subraya que la incorporación de las partes interesadas amplía la capacidad de decisión colaborativa </w:t>
      </w:r>
      <w:r>
        <w:t>(Durden, 2025)</w:t>
      </w:r>
      <w:r>
        <w:t xml:space="preserve">, y DeVries (2024) destaca los desafíos de gobernanza que emergen de estas tecnologías </w:t>
      </w:r>
      <w:r>
        <w:t>(DeVries, 2024)</w:t>
      </w:r>
      <w:r>
        <w:t>. El presente trabajo define sus criterios de éxito sin consulta a los gestores del Santuario, lo que constituye una brecha respecto de las recomendaciones del estado del arte.</w:t>
      </w:r>
    </w:p>
    <w:p>
      <w:pPr>
        <w:pStyle w:val="Heading2"/>
      </w:pPr>
      <w:r>
        <w:t>Trabajo futuro</w:t>
      </w:r>
    </w:p>
    <w:p>
      <w:r>
        <w:t xml:space="preserve">Cuatro líneas de continuidad se desprenden de estas limitaciones. La incorporación de mediciones de campo del SNLMT permitiría recalibrar el motor y validar las proyecciones contra observaciones independientes, atendiendo a la exigencia de transferibilidad señalada por Twomey et al. (2024) </w:t>
      </w:r>
      <w:r>
        <w:t>(Twomey et al et al., 2024)</w:t>
      </w:r>
      <w:r>
        <w:t xml:space="preserve">. La integración de capas ráster de cobertura y elevación habilitaría la representación de la heterogeneidad espacial y la exploración de escenarios diferenciados por franja, respondiendo a la limitación identificada por Buffington et al. (2021) respecto de la salinidad </w:t>
      </w:r>
      <w:r>
        <w:t>(Buffington et al et al., 2021)</w:t>
      </w:r>
      <w:r>
        <w:t>.</w:t>
      </w:r>
    </w:p>
    <w:p>
      <w:r>
        <w:t xml:space="preserve">En el plano arquitectónico, la migración hacia una arquitectura de servicios —siguiendo los patrones documentados por Picone et al. (2023) para despliegues en el borde </w:t>
      </w:r>
      <w:r>
        <w:t>(Picone et al et al., 2023)</w:t>
      </w:r>
      <w:r>
        <w:t xml:space="preserve"> y por Rodríguez-Alonso et al. (2024) para plataformas hídricas </w:t>
      </w:r>
      <w:r>
        <w:t>(Rodríguez-Alonso et al., 2024)</w:t>
      </w:r>
      <w:r>
        <w:t xml:space="preserve">— permitiría escalar el sistema y facilitar su interoperabilidad con otras infraestructuras de datos. Finalmente, la incorporación de un proceso estructurado de participación de actores, en línea con las recomendaciones de Durden (2025) </w:t>
      </w:r>
      <w:r>
        <w:t>(Durden, 2025)</w:t>
      </w:r>
      <w:r>
        <w:t xml:space="preserve"> y los marcos de gobernanza de Hananto y Veza (2025) </w:t>
      </w:r>
      <w:r>
        <w:t>(Hananto &amp; Veza, 2025)</w:t>
      </w:r>
      <w:r>
        <w:t>, permitiría alinear los criterios de éxito del sistema con las necesidades efectivas de los gestores del Santuario.</w:t>
      </w:r>
    </w:p>
    <w:p>
      <w:pPr>
        <w:pStyle w:val="Heading1"/>
      </w:pPr>
      <w:r>
        <w:t>Conclusiones</w:t>
      </w:r>
    </w:p>
    <w:p>
      <w:r>
        <w:t>El presente trabajo desarrolló un gemelo digital del Santuario Nacional Los Manglares de Tumbes y aplicó la metodología CRISP-DM para modelar, explicar y comunicar la variación del carbono azul bajo escenarios de restauración hidrológica y ascenso del nivel del mar hasta 2050. Las conclusiones se organizan en torno a los cuatro criterios de éxito definidos en la fase de comprensión del negocio.</w:t>
      </w:r>
    </w:p>
    <w:p>
      <w:r>
        <w:rPr>
          <w:b/>
        </w:rPr>
        <w:t>Desempeño predictivo.</w:t>
      </w:r>
      <w:r>
        <w:t xml:space="preserve"> El criterio de un R² fuera de muestra superior o igual a 0,85 se cumplió con holgura. Los tres ensambles de árboles evaluados superaron el umbral, y el modelo Extra Trees alcanzó R² = 1,000 con un error absoluto medio de 0,014 puntos porcentuales y un intervalo de confianza del 95 % de [0,012; 0,016]. La desviación estándar nula entre las diez particiones de validación cruzada confirma la estabilidad del desempeño. El criterio de un MAE igual o inferior a 3 puntos porcentuales también se satisfizo.</w:t>
      </w:r>
    </w:p>
    <w:p>
      <w:r>
        <w:rPr>
          <w:b/>
        </w:rPr>
        <w:t>Superioridad estadística.</w:t>
      </w:r>
      <w:r>
        <w:t xml:space="preserve"> El criterio de diferencia significativa frente al modelo lineal de referencia se cumplió en todas las comparaciones. La t pareada arrojó p &lt; 0,001 frente a los modelos lineales (t = 25,91) y frente a los restantes ensambles (t entre 5,23 y 7,49). La prueba no paramétrica de Wilcoxon converge en la misma dirección, y la verificación de no normalidad de los residuales (Shapiro-Wilk, p &lt; 0,001) justifica su inclusión como contraste complementario.</w:t>
      </w:r>
    </w:p>
    <w:p>
      <w:r>
        <w:rPr>
          <w:b/>
        </w:rPr>
        <w:t>Explicabilidad.</w:t>
      </w:r>
      <w:r>
        <w:t xml:space="preserve"> La importancia por permutación identificó el escenario de ascenso del nivel del mar (importancia media = 1,071) y el nivel de restauración hidrológica (0,839) como las únicas variables con contribución relevante, con desviaciones estándar reducidas. Este resultado coincide exactamente con la estructura algebraica del motor, lo que constituye una validación indirecta del procedimiento de atribución y una demostración práctica de que la interpretabilidad puede auditar modelos de caja negra.</w:t>
      </w:r>
    </w:p>
    <w:p>
      <w:r>
        <w:rPr>
          <w:b/>
        </w:rPr>
        <w:t>Contraste de la hipótesis.</w:t>
      </w:r>
      <w:r>
        <w:t xml:space="preserve"> La hipótesis de que la restauración hidrológica puede incrementar la retención de carbono en al menos un 25 % a 2050 </w:t>
      </w:r>
      <w:r>
        <w:rPr>
          <w:b/>
        </w:rPr>
        <w:t>no se verifica de manera general</w:t>
      </w:r>
      <w:r>
        <w:t>. Se cumple condicionalmente: en el tramo de restauración más alto (75-100 %), un 34,85 % de los escenarios supera el umbral, con una ganancia media de 11,24 %. En contraste, los tramos de restauración media producen el tránsito de pérdida neta a ganancia neta sin alcanzar el umbral aspiracional.</w:t>
      </w:r>
    </w:p>
    <w:p>
      <w:r>
        <w:t xml:space="preserve">Estos hallazgos deben interpretarse a la luz de la principal limitación del estudio: la variable objetivo es simulada. Las conclusiones describen la fidelidad del emulador respecto del motor determinista y la coherencia interna del modelo físico, no la capacidad predictiva sobre observaciones de campo. La sustitución de los parámetros calibrados por mediciones del SNLMT —actualmente en curso mediante el proceso de certificación de carbono azul de la región </w:t>
      </w:r>
      <w:r>
        <w:t>(Lu et al et al., 2026)</w:t>
      </w:r>
      <w:r>
        <w:t>— constituye el paso necesario para conferir validez empírica a las proyecciones.</w:t>
      </w:r>
    </w:p>
    <w:p>
      <w:r>
        <w:t>Más allá de los resultados numéricos, el trabajo aporta tres productos reutilizables: un dataset híbrido anclado en datos reales publicados con trazabilidad explícita de sus componentes; un módulo analítico que implementa las seis fases de CRISP-DM de forma reproducible y verificable; y un panel interactivo que expone la interpretabilidad como capacidad de primera clase, permitiendo a gestores no especializados interrogar el modelo y comprender la contribución de cada variable a la predicción.</w:t>
      </w:r>
    </w:p>
    <w:p>
      <w:r>
        <w:t>La relevancia práctica del enfoque reside en su capacidad de sostener decisiones de gestión con evidencia cuantificada y comunicable. Un instrumento que permita estimar el nivel de restauración requerido para transitar de la pérdida a la ganancia neta de carbono, y que explicite la dependencia de esa respuesta respecto del escenario climático, tiene valor directo para la planificación de la conservación, la priorización de inversiones y la fundamentación técnica de los procesos de certificación de carbono azul.</w:t>
      </w:r>
    </w:p>
    <w:p>
      <w:r>
        <w:t>Finalmente, la disciplina de control de versiones sostenida a lo largo del desarrollo —39 confirmaciones con mensajes descriptivos que vinculan cada cambio con el hallazgo que lo motivó— constituye un aporte metodológico en sí mismo: garantiza que cualquier resultado reportado sea trazable hasta el estado exacto del código que lo produjo, condición indispensable para la reproducibilidad de la investigación computacional.</w:t>
      </w:r>
    </w:p>
    <w:p>
      <w:pPr>
        <w:pStyle w:val="Heading1"/>
      </w:pPr>
      <w:r>
        <w:t>Referencias</w:t>
      </w:r>
    </w:p>
    <w:p>
      <w:r>
        <w:t xml:space="preserve">Aguzzi et al. (2025). A digital-twin strategy using robots for marine ecosystem monitoring. </w:t>
      </w:r>
      <w:r>
        <w:rPr>
          <w:i/>
        </w:rPr>
        <w:t>Ecological Informatics</w:t>
      </w:r>
      <w:r>
        <w:t>, 91, 103409. https://doi.org/10.1016/j.ecoinf.2025.103409</w:t>
      </w:r>
    </w:p>
    <w:p>
      <w:r>
        <w:t xml:space="preserve">Alenezi &amp; Alabaiadly (2026). Digital twins and Edge AI for smallOff-Grid water systems A review. </w:t>
      </w:r>
      <w:r>
        <w:rPr>
          <w:i/>
        </w:rPr>
        <w:t>IEEE Access</w:t>
      </w:r>
      <w:r>
        <w:t>, 14, 39960-39978. https://doi.org/10.1109/ACCESS.2026.3669429</w:t>
      </w:r>
    </w:p>
    <w:p>
      <w:r>
        <w:t xml:space="preserve">Blair, G. S. (2021). Digital twins of the natural environment. </w:t>
      </w:r>
      <w:r>
        <w:rPr>
          <w:i/>
        </w:rPr>
        <w:t>Nature Climate Change</w:t>
      </w:r>
      <w:r>
        <w:t>, 11(11), 828-829. https://doi.org/10.1038/s41558-021-00986-y</w:t>
      </w:r>
    </w:p>
    <w:p>
      <w:r>
        <w:t xml:space="preserve">Brown &amp; Williams (2019). The potential for citizen science to produce reliable and useful information in ecology. </w:t>
      </w:r>
      <w:r>
        <w:rPr>
          <w:i/>
        </w:rPr>
        <w:t>Conservation Biology</w:t>
      </w:r>
      <w:r>
        <w:t>, 33(3), 561-569. https://doi.org/10.1111/cobi.13223</w:t>
      </w:r>
    </w:p>
    <w:p>
      <w:r>
        <w:t xml:space="preserve">Buffington et al. (2021). Incorporation of uncertainty to improve projections of tidal wetland elevation and carbon accumulati. </w:t>
      </w:r>
      <w:r>
        <w:rPr>
          <w:i/>
        </w:rPr>
        <w:t>PLOS ONE</w:t>
      </w:r>
      <w:r>
        <w:t>, 16(10), e0256707. https://doi.org/10.1371/journal.pone.0256707</w:t>
      </w:r>
    </w:p>
    <w:p>
      <w:r>
        <w:t xml:space="preserve">Cabrera et al. (2021). The potential of a smartphone as an urban weather station—An exploratory analysis. </w:t>
      </w:r>
      <w:r>
        <w:rPr>
          <w:i/>
        </w:rPr>
        <w:t>Frontiers in Environmental Science</w:t>
      </w:r>
      <w:r>
        <w:t>, 9. https://doi.org/10.3389/fenvs.2021.673937</w:t>
      </w:r>
    </w:p>
    <w:p>
      <w:r>
        <w:t xml:space="preserve">Chen, R., Yi, C., Zhou, F., Kang, J., Wu, Y., &amp; Niyato, D. (2025). Federated digital twin construction via distributed sensing: A game-theoretic online optimization with overlapping coalitions. </w:t>
      </w:r>
      <w:r>
        <w:rPr>
          <w:i/>
        </w:rPr>
        <w:t>arXiv preprint</w:t>
      </w:r>
      <w:r>
        <w:t>. https://arxiv.org/abs/2502.16313</w:t>
      </w:r>
    </w:p>
    <w:p>
      <w:r>
        <w:t xml:space="preserve">de Koning, K., Broekhuijsen, J., Kühn, I., Ovaskainen, O., Taubert, F., Endresen, D., Schigel, D., &amp; Grimm, V. (2023). Digital twins: dynamic model-data fusion for ecology. </w:t>
      </w:r>
      <w:r>
        <w:rPr>
          <w:i/>
        </w:rPr>
        <w:t>Trends in Ecology &amp; Evolution</w:t>
      </w:r>
      <w:r>
        <w:t>, 38(10), 916-926. https://doi.org/10.1016/j.tree.2023.04.010</w:t>
      </w:r>
    </w:p>
    <w:p>
      <w:r>
        <w:t xml:space="preserve">DeVries, C. (2024). Governance framework for citizen digital twins in smart cities. </w:t>
      </w:r>
      <w:r>
        <w:rPr>
          <w:i/>
        </w:rPr>
        <w:t>Intelligent &amp; Human Futures</w:t>
      </w:r>
      <w:r>
        <w:t>, 1(1), 1-14. Wisdom Academic Press.</w:t>
      </w:r>
    </w:p>
    <w:p>
      <w:r>
        <w:t xml:space="preserve">Dilip (2024). Thermal digital twins of asphalt pavements using physics-informed neural networks. </w:t>
      </w:r>
      <w:r>
        <w:rPr>
          <w:i/>
        </w:rPr>
        <w:t>World Congress on Civil, Structural, and Environmental Engineering</w:t>
      </w:r>
      <w:r>
        <w:t>. https://doi.org/10.11159/icgre24.157</w:t>
      </w:r>
    </w:p>
    <w:p>
      <w:r>
        <w:t xml:space="preserve">Durden (2025). Environmental management using a digital twin. </w:t>
      </w:r>
      <w:r>
        <w:rPr>
          <w:i/>
        </w:rPr>
        <w:t>Environmental Science &amp; Policy</w:t>
      </w:r>
      <w:r>
        <w:t>, 164, 104018. https://doi.org/10.1016/j.envsci.2025.104018</w:t>
      </w:r>
    </w:p>
    <w:p>
      <w:r>
        <w:t xml:space="preserve">Durão, L. F. C. S., Haag, S., Anderl, R., Schützer, K., &amp; Zancul, E. (2018). Digital twin requirements in the context of Industry 4.0. </w:t>
      </w:r>
      <w:r>
        <w:rPr>
          <w:i/>
        </w:rPr>
        <w:t>IFIP Advances in Information and Communication Technology</w:t>
      </w:r>
      <w:r>
        <w:t>, 540, 204-214. https://doi.org/10.1007/978-3-030-01614-2_19</w:t>
      </w:r>
    </w:p>
    <w:p>
      <w:r>
        <w:t xml:space="preserve">Garske et al. (2024). Digital twins in sustainable transition exploring the role of EU data governance. </w:t>
      </w:r>
      <w:r>
        <w:rPr>
          <w:i/>
        </w:rPr>
        <w:t>Frontiers in Research Metrics and Analytics</w:t>
      </w:r>
      <w:r>
        <w:t>, 9. https://doi.org/10.3389/frma.2024.1303024</w:t>
      </w:r>
    </w:p>
    <w:p>
      <w:r>
        <w:t xml:space="preserve">Guo et al. (2017). A review of wetland remote sensing. </w:t>
      </w:r>
      <w:r>
        <w:rPr>
          <w:i/>
        </w:rPr>
        <w:t>Sensors</w:t>
      </w:r>
      <w:r>
        <w:t>, 17(4), 777. https://doi.org/10.3390/s17040777</w:t>
      </w:r>
    </w:p>
    <w:p>
      <w:r>
        <w:t xml:space="preserve">Hananto &amp; Veza (2025). Governance framework for intelligent digital Twin systems in battery storage aligning standards, Ma. </w:t>
      </w:r>
      <w:r>
        <w:rPr>
          <w:i/>
        </w:rPr>
        <w:t>Computers</w:t>
      </w:r>
      <w:r>
        <w:t>, 14(9), 365. https://doi.org/10.3390/computers14090365</w:t>
      </w:r>
    </w:p>
    <w:p>
      <w:r>
        <w:t xml:space="preserve">Haraguchi et al. (2024). Assessing governance implications of city digital twin technology A maturity model approach. </w:t>
      </w:r>
      <w:r>
        <w:rPr>
          <w:i/>
        </w:rPr>
        <w:t>Technological Forecasting and Social Change</w:t>
      </w:r>
      <w:r>
        <w:t>, 204, 123409. https://doi.org/10.1016/j.techfore.2024.123409</w:t>
      </w:r>
    </w:p>
    <w:p>
      <w:r>
        <w:t xml:space="preserve">Henriksen et al. (2023). A New digital Twin for climate change adaptation, water management, and disaster Risk reduction (HIP. </w:t>
      </w:r>
      <w:r>
        <w:rPr>
          <w:i/>
        </w:rPr>
        <w:t>Water</w:t>
      </w:r>
      <w:r>
        <w:t>, 15(1), 25. https://doi.org/10.3390/w15010025</w:t>
      </w:r>
    </w:p>
    <w:p>
      <w:r>
        <w:t xml:space="preserve">Jafarzadeh et al. (2022). Remote sensing and machine learning tools to support wetland monitoring A meta-Analysis of three De. </w:t>
      </w:r>
      <w:r>
        <w:rPr>
          <w:i/>
        </w:rPr>
        <w:t>Remote Sensing</w:t>
      </w:r>
      <w:r>
        <w:t>, 14(23), 6104. https://doi.org/10.3390/rs14236104</w:t>
      </w:r>
    </w:p>
    <w:p>
      <w:r>
        <w:t xml:space="preserve">Jeffery, K., Wittenburg, P., Lannom, L., Strawn, G., Biniossek, C., Betz, D., &amp; Blanchi, C. (2021). Not ready for convergence in data infrastructures. </w:t>
      </w:r>
      <w:r>
        <w:rPr>
          <w:i/>
        </w:rPr>
        <w:t>Data Intelligence</w:t>
      </w:r>
      <w:r>
        <w:t>, 3(1), 116-135. https://doi.org/10.1162/dint_a_00084</w:t>
      </w:r>
    </w:p>
    <w:p>
      <w:r>
        <w:t xml:space="preserve">Jiang, P., Meinert, N., Jordão, H., Weisser, C., Holgate, S., Lavin, A., Lütjens, B., Newman, D., Wainwright, H., Walker, C., &amp; Barnard, P. (2021). Digital Twin Earth — coasts: developing a fast and physics-informed surrogate model for coastal floods via neural operators. </w:t>
      </w:r>
      <w:r>
        <w:rPr>
          <w:i/>
        </w:rPr>
        <w:t>arXiv preprint</w:t>
      </w:r>
      <w:r>
        <w:t>. https://arxiv.org/abs/2110.07100</w:t>
      </w:r>
    </w:p>
    <w:p>
      <w:r>
        <w:t xml:space="preserve">Khan et al. (2025). TwinEco A unified framework for dynamic data-driven digital twins in ecology. </w:t>
      </w:r>
      <w:r>
        <w:rPr>
          <w:i/>
        </w:rPr>
        <w:t>Ecological Informatics</w:t>
      </w:r>
      <w:r>
        <w:t>, 91, 103407. https://doi.org/10.1016/j.ecoinf.2025.103407</w:t>
      </w:r>
    </w:p>
    <w:p>
      <w:r>
        <w:t xml:space="preserve">Lei et al. (2023). Challenges of urban digital twins A systematic review and a delphi expert survey. </w:t>
      </w:r>
      <w:r>
        <w:rPr>
          <w:i/>
        </w:rPr>
        <w:t>Automation in Construction</w:t>
      </w:r>
      <w:r>
        <w:t>, 147, 104716. https://doi.org/10.1016/j.autcon.2022.104716</w:t>
      </w:r>
    </w:p>
    <w:p>
      <w:r>
        <w:t xml:space="preserve">Lu et al. (2026). Exploring the concept of digital twins of wetlands for supporting ecosystem monitoring and management. </w:t>
      </w:r>
      <w:r>
        <w:rPr>
          <w:i/>
        </w:rPr>
        <w:t>Big Earth Data</w:t>
      </w:r>
      <w:r>
        <w:t>, 10(1), 37-67. https://doi.org/10.1080/20964471.2025.2480446</w:t>
      </w:r>
    </w:p>
    <w:p>
      <w:r>
        <w:t xml:space="preserve">Meyer et al. (2015). Global priorities for an effective information basis of biodiversity distributions. </w:t>
      </w:r>
      <w:r>
        <w:rPr>
          <w:i/>
        </w:rPr>
        <w:t>Nature Communications</w:t>
      </w:r>
      <w:r>
        <w:t>, 6(1). https://doi.org/10.1038/ncomms9221</w:t>
      </w:r>
    </w:p>
    <w:p>
      <w:r>
        <w:t xml:space="preserve">Meyer et al. (2016). Multidimensional biases, gaps and uncertainties in global plant occurrence information. </w:t>
      </w:r>
      <w:r>
        <w:rPr>
          <w:i/>
        </w:rPr>
        <w:t>Ecology Letters</w:t>
      </w:r>
      <w:r>
        <w:t>, 19(8), 992-1006. https://doi.org/10.1111/ele.12624</w:t>
      </w:r>
    </w:p>
    <w:p>
      <w:r>
        <w:t xml:space="preserve">Mollenhauer et al. (2018). Long-term environmental monitoring infrastructures in europe observations, measurements, scales, an. </w:t>
      </w:r>
      <w:r>
        <w:rPr>
          <w:i/>
        </w:rPr>
        <w:t>Science of The Total Environment</w:t>
      </w:r>
      <w:r>
        <w:t>, 624, 968-978. https://doi.org/10.1016/j.scitotenv.2017.12.095</w:t>
      </w:r>
    </w:p>
    <w:p>
      <w:r>
        <w:t xml:space="preserve">Nativi et al. (2021). Digital ecosystems for developing digital twins of the Earth The Destination Earth Case. </w:t>
      </w:r>
      <w:r>
        <w:rPr>
          <w:i/>
        </w:rPr>
        <w:t>Remote Sensing</w:t>
      </w:r>
      <w:r>
        <w:t>, 13(11), 2119. https://doi.org/10.3390/rs13112119</w:t>
      </w:r>
    </w:p>
    <w:p>
      <w:r>
        <w:t xml:space="preserve">Picone et al. (2023). A flexible and modular architecture for Edge digital Twin implementation and evaluation. </w:t>
      </w:r>
      <w:r>
        <w:rPr>
          <w:i/>
        </w:rPr>
        <w:t>ACM Transactions on Internet of Things</w:t>
      </w:r>
      <w:r>
        <w:t>, 4(1), 1-32. https://doi.org/10.1145/3573206</w:t>
      </w:r>
    </w:p>
    <w:p>
      <w:r>
        <w:t xml:space="preserve">Qamsane et al. (2021). A methodology to develop and implement digital Twin solutions for manufacturing systems. </w:t>
      </w:r>
      <w:r>
        <w:rPr>
          <w:i/>
        </w:rPr>
        <w:t>IEEE Access</w:t>
      </w:r>
      <w:r>
        <w:t>, 9, 44247-44265. https://doi.org/10.1109/ACCESS.2021.3065971</w:t>
      </w:r>
    </w:p>
    <w:p>
      <w:r>
        <w:t xml:space="preserve">Raes et al. (2022). DUET A framework for building interoperable and trusted digital twins of smart cities. </w:t>
      </w:r>
      <w:r>
        <w:rPr>
          <w:i/>
        </w:rPr>
        <w:t>IEEE Internet Computing</w:t>
      </w:r>
      <w:r>
        <w:t>, 26(3), 43-50. https://doi.org/10.1109/MIC.2021.3060962</w:t>
      </w:r>
    </w:p>
    <w:p>
      <w:r>
        <w:t xml:space="preserve">Rasheed et al. (2020). Digital Twin values, challenges and enablers From a modeling perspective. </w:t>
      </w:r>
      <w:r>
        <w:rPr>
          <w:i/>
        </w:rPr>
        <w:t>IEEE Access</w:t>
      </w:r>
      <w:r>
        <w:t>, 8, 21980-22012. https://doi.org/10.1109/ACCESS.2020.2970143</w:t>
      </w:r>
    </w:p>
    <w:p>
      <w:r>
        <w:t xml:space="preserve">Reichstein et al. (2019). Deep learning and process understanding for data-driven Earth system science. </w:t>
      </w:r>
      <w:r>
        <w:rPr>
          <w:i/>
        </w:rPr>
        <w:t>Nature</w:t>
      </w:r>
      <w:r>
        <w:t>, 566(7743), 195-204. https://doi.org/10.1038/s41586-019-0912-1</w:t>
      </w:r>
    </w:p>
    <w:p>
      <w:r>
        <w:t xml:space="preserve">Rodríguez-Alonso, C., Pena-Regueiro, I., &amp; García, Ó. (2024). Digital twin platform for water treatment plants using microservices architecture. </w:t>
      </w:r>
      <w:r>
        <w:rPr>
          <w:i/>
        </w:rPr>
        <w:t>Sensors</w:t>
      </w:r>
      <w:r>
        <w:t>, 24(5), 1568. https://doi.org/10.3390/s24051568</w:t>
      </w:r>
    </w:p>
    <w:p>
      <w:r>
        <w:t xml:space="preserve">Twomey et al. (2024). Planning hydrological restoration of coastal wetlands Key model considerations and solutions. </w:t>
      </w:r>
      <w:r>
        <w:rPr>
          <w:i/>
        </w:rPr>
        <w:t>Science of The Total Environment</w:t>
      </w:r>
      <w:r>
        <w:t>, 915, 169881. https://doi.org/10.1016/j.scitotenv.2024.169881</w:t>
      </w:r>
    </w:p>
    <w:p>
      <w:r>
        <w:t xml:space="preserve">Tzachor et al. (2023). Digital twins a stepping stone to achieve ocean sustainability. </w:t>
      </w:r>
      <w:r>
        <w:rPr>
          <w:i/>
        </w:rPr>
        <w:t>npj Ocean Sustainability</w:t>
      </w:r>
      <w:r>
        <w:t>, 2(1). https://doi.org/10.1038/s44183-023-00023-9</w:t>
      </w:r>
    </w:p>
    <w:p>
      <w:r>
        <w:t xml:space="preserve">Verdouw et al. (2021). Digital twins in smart farming. </w:t>
      </w:r>
      <w:r>
        <w:rPr>
          <w:i/>
        </w:rPr>
        <w:t>Agricultural Systems</w:t>
      </w:r>
      <w:r>
        <w:t>, 189, 103046. https://doi.org/10.1016/j.agsy.2020.103046</w:t>
      </w:r>
    </w:p>
    <w:p>
      <w:r>
        <w:t xml:space="preserve">Weil et al. (2023). Urban digital Twin challenges A systematic review and perspectives for sustainable smart cities. </w:t>
      </w:r>
      <w:r>
        <w:rPr>
          <w:i/>
        </w:rPr>
        <w:t>Sustainable Cities and Society</w:t>
      </w:r>
      <w:r>
        <w:t>, 99, 104862. https://doi.org/10.1016/j.scs.2023.104862</w:t>
      </w:r>
    </w:p>
    <w:p>
      <w:r>
        <w:t xml:space="preserve">Wright &amp; Davidson (2020). How to tell the difference between a model and a digital twin. </w:t>
      </w:r>
      <w:r>
        <w:rPr>
          <w:i/>
        </w:rPr>
        <w:t>Advanced Modeling and Simulation in Engineering Sciences</w:t>
      </w:r>
      <w:r>
        <w:t>, 7(1). https://doi.org/10.1186/s40323-020-00147-4</w:t>
      </w:r>
    </w:p>
    <w:p>
      <w:r>
        <w:t xml:space="preserve">Yang, S., Kim, H., Hong, Y., Yee, K., &amp; Kang, N. (2024). Data-driven physics-informed neural networks: A digital twin perspective. </w:t>
      </w:r>
      <w:r>
        <w:rPr>
          <w:i/>
        </w:rPr>
        <w:t>arXiv preprint</w:t>
      </w:r>
      <w:r>
        <w:t>. https://arxiv.org/abs/2311.10387</w:t>
      </w:r>
    </w:p>
    <w:p>
      <w:r>
        <w:t xml:space="preserve">Zia et al. (2025). Physics encoded blocks in residual neural network architectures for digital twin models. </w:t>
      </w:r>
      <w:r>
        <w:rPr>
          <w:i/>
        </w:rPr>
        <w:t>Machine Learning</w:t>
      </w:r>
      <w:r>
        <w:t>, 114(8). https://doi.org/10.1007/s10994-025-06808-y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