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line="240" w:lineRule="auto"/>
        <w:rPr>
          <w:u w:val="single"/>
        </w:rPr>
      </w:pPr>
      <w:r>
        <w:rPr>
          <w:u w:val="single"/>
          <w:rtl w:val="false"/>
        </w:rPr>
        <w:t xml:space="preserve">Summary </w:t>
      </w:r>
      <w:r/>
    </w:p>
    <w:p>
      <w:pPr>
        <w:jc w:val="both"/>
        <w:spacing w:line="240" w:lineRule="auto"/>
        <w:rPr>
          <w:u w:val="single"/>
        </w:rPr>
      </w:pPr>
      <w:r>
        <w:rPr>
          <w:rtl w:val="false"/>
        </w:rPr>
      </w:r>
      <w:r/>
    </w:p>
    <w:p>
      <w:r>
        <w:rPr>
          <w:rtl w:val="false"/>
        </w:rPr>
        <w:t xml:space="preserve">This model simulates the brain as a network of neural mass models, integrating dopamine dynamics with glutamatergic and GABAergic sy</w:t>
      </w:r>
      <w:r>
        <w:rPr>
          <w:rtl w:val="false"/>
        </w:rPr>
        <w:t xml:space="preserve">naptic interactions. It adapts a neural mass model to include the effects of dopamine via the D1 receptor, which enhances excitatory synaptic currents (AMPA and NMDA channels). Dopaminergic inputs and reuptake regulate dopamine concentration at each node. </w:t>
      </w:r>
      <w:r/>
    </w:p>
    <w:p>
      <w:r>
        <w:rPr>
          <w:rtl w:val="false"/>
        </w:rPr>
        <w:t xml:space="preserve">The weights for these connections are derived from tractography data, adjusted based on connectivity studies. The whole-brain model can be implemented using two atlases, Desikan-Killiany (DK) and Schaefer 7 Networks, with specific masks for glutamatergic, </w:t>
      </w:r>
      <w:r>
        <w:rPr>
          <w:rtl w:val="false"/>
        </w:rPr>
        <w:t xml:space="preserve">GABAergic, and dopaminergic projections. These projections are informed by established brain circuits using anatomical knowledge. D1 receptor numbers for brain regions are added using PET data, aligning receptor density values with each node in the model. </w:t>
      </w:r>
      <w:r/>
    </w:p>
    <w:p>
      <w:r>
        <w:rPr>
          <w:rtl w:val="false"/>
        </w:rPr>
        <w:t xml:space="preserve">This approach allows for the simulation of neuromodulatory effects across different brain areas, with flexibility in adjusting network dynamics based on different parametrization. </w:t>
      </w:r>
      <w:r/>
    </w:p>
    <w:p>
      <w:r>
        <w:rPr>
          <w:rtl w:val="false"/>
        </w:rPr>
      </w:r>
      <w:r/>
    </w:p>
    <w:p>
      <w:r>
        <w:rPr>
          <w:rtl w:val="false"/>
        </w:rPr>
        <w:t xml:space="preserve">Simulations are implemented with vbjax, </w:t>
      </w:r>
      <w:r>
        <w:rPr>
          <w:rtl w:val="false"/>
        </w:rPr>
        <w:t xml:space="preserve">a Jax-based package for working with virtual brain style models (1).</w:t>
      </w:r>
      <w:r>
        <w:rPr>
          <w:rtl w:val="false"/>
        </w:rPr>
      </w:r>
      <w:r/>
    </w:p>
    <w:p>
      <w:r>
        <w:rPr>
          <w:rtl w:val="false"/>
        </w:rPr>
      </w:r>
      <w:r/>
    </w:p>
    <w:p>
      <w:pPr>
        <w:jc w:val="both"/>
        <w:spacing w:line="240" w:lineRule="auto"/>
        <w:rPr>
          <w:u w:val="single"/>
        </w:rPr>
      </w:pPr>
      <w:r/>
      <w:commentRangeStart w:id="0"/>
      <w:r/>
      <w:commentRangeStart w:id="1"/>
      <w:r>
        <w:rPr>
          <w:u w:val="single"/>
          <w:rtl w:val="false"/>
        </w:rPr>
        <w:t xml:space="preserve">Model documentation</w:t>
      </w:r>
      <w:commentRangeEnd w:id="0"/>
      <w:r>
        <w:commentReference w:id="0"/>
      </w:r>
      <w:r/>
      <w:commentRangeEnd w:id="1"/>
      <w:r>
        <w:commentReference w:id="1"/>
      </w:r>
      <w:r>
        <w:rPr>
          <w:rtl w:val="false"/>
        </w:rPr>
      </w:r>
      <w:r/>
    </w:p>
    <w:p>
      <w:pPr>
        <w:jc w:val="both"/>
        <w:spacing w:line="240" w:lineRule="auto"/>
        <w:rPr>
          <w:u w:val="single"/>
        </w:rPr>
      </w:pPr>
      <w:r>
        <w:rPr>
          <w:rtl w:val="false"/>
        </w:rPr>
      </w:r>
      <w:r/>
    </w:p>
    <w:p>
      <w:pPr>
        <w:jc w:val="both"/>
        <w:spacing w:line="240" w:lineRule="auto"/>
        <w:rPr>
          <w:u w:val="single"/>
        </w:rPr>
      </w:pPr>
      <w:r>
        <w:rPr>
          <w:rtl w:val="false"/>
        </w:rPr>
        <w:t xml:space="preserve">Impairments of the neuromodulatory system have been considered key pathophysiological mechanisms of many neurological and psychiatric diseases, such as Parkinson's disease and schizophrenia. </w:t>
      </w:r>
      <w:r>
        <w:rPr>
          <w:rtl w:val="false"/>
        </w:rPr>
      </w:r>
      <w:r/>
    </w:p>
    <w:p>
      <w:pPr>
        <w:jc w:val="both"/>
        <w:spacing w:line="240" w:lineRule="auto"/>
        <w:rPr>
          <w:u w:val="single"/>
        </w:rPr>
      </w:pPr>
      <w:r>
        <w:rPr>
          <w:rtl w:val="false"/>
        </w:rPr>
      </w:r>
      <w:r/>
    </w:p>
    <w:p>
      <w:pPr>
        <w:jc w:val="both"/>
        <w:spacing w:line="240" w:lineRule="auto"/>
      </w:pPr>
      <w:r>
        <w:rPr>
          <w:rtl w:val="false"/>
        </w:rPr>
        <w:t xml:space="preserve">W</w:t>
      </w:r>
      <w:r>
        <w:rPr>
          <w:rtl w:val="false"/>
        </w:rPr>
        <w:t xml:space="preserve">e aim to construct a model of the brain as a network of neural mass models extended to include dopamine concentration and its effects, along with its interplay with glutamatergic and GABAergic synapses. This can be achieved by </w:t>
      </w:r>
      <w:r/>
    </w:p>
    <w:p>
      <w:pPr>
        <w:numPr>
          <w:ilvl w:val="0"/>
          <w:numId w:val="4"/>
        </w:numPr>
        <w:ind w:left="720" w:hanging="360"/>
        <w:jc w:val="both"/>
        <w:spacing w:line="240" w:lineRule="auto"/>
      </w:pPr>
      <w:r>
        <w:rPr>
          <w:rtl w:val="false"/>
        </w:rPr>
        <w:t xml:space="preserve">embedding a neural mass model with dopaminergic neuromodulatory mechanisms, </w:t>
      </w:r>
      <w:r/>
    </w:p>
    <w:p>
      <w:pPr>
        <w:numPr>
          <w:ilvl w:val="0"/>
          <w:numId w:val="4"/>
        </w:numPr>
        <w:ind w:left="720" w:hanging="360"/>
        <w:jc w:val="both"/>
        <w:spacing w:line="240" w:lineRule="auto"/>
      </w:pPr>
      <w:r>
        <w:rPr>
          <w:rtl w:val="false"/>
        </w:rPr>
        <w:t xml:space="preserve">creating a brain network that accounts for the interactions of glutamatergic, GABAergic, and dopaminergic projections between its nodes.</w:t>
      </w:r>
      <w:r/>
    </w:p>
    <w:p>
      <w:pPr>
        <w:jc w:val="both"/>
        <w:spacing w:line="240" w:lineRule="auto"/>
        <w:rPr>
          <w:sz w:val="12"/>
          <w:szCs w:val="12"/>
        </w:rPr>
      </w:pPr>
      <w:r>
        <w:rPr>
          <w:rtl w:val="false"/>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74296</wp:posOffset>
                </wp:positionH>
                <wp:positionV relativeFrom="paragraph">
                  <wp:posOffset>162587</wp:posOffset>
                </wp:positionV>
                <wp:extent cx="5495925" cy="3256473"/>
                <wp:effectExtent l="0" t="0" r="0" b="0"/>
                <wp:wrapTopAndBottom/>
                <wp:docPr id="1" name="image6.png" hidden="0"/>
                <wp:cNvGraphicFramePr/>
                <a:graphic xmlns:a="http://schemas.openxmlformats.org/drawingml/2006/main">
                  <a:graphicData uri="http://schemas.openxmlformats.org/drawingml/2006/picture">
                    <pic:pic xmlns:pic="http://schemas.openxmlformats.org/drawingml/2006/picture">
                      <pic:nvPicPr>
                        <pic:cNvPr id="0" name="image6.png" hidden="0"/>
                        <pic:cNvPicPr/>
                        <pic:nvPr isPhoto="0" userDrawn="0"/>
                      </pic:nvPicPr>
                      <pic:blipFill>
                        <a:blip r:embed="rId9"/>
                        <a:srcRect l="0" t="0" r="0" b="0"/>
                        <a:stretch/>
                      </pic:blipFill>
                      <pic:spPr bwMode="auto">
                        <a:xfrm>
                          <a:off x="0" y="0"/>
                          <a:ext cx="5495925" cy="325647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9.0pt;mso-wrap-distance-right:9.0pt;mso-wrap-distance-bottom:9.0pt;z-index:0;o:allowoverlap:true;o:allowincell:true;mso-position-horizontal-relative:text;margin-left:5.9pt;mso-position-horizontal:absolute;mso-position-vertical-relative:text;margin-top:12.8pt;mso-position-vertical:absolute;width:432.8pt;height:256.4pt;">
                <v:path textboxrect="0,0,0,0"/>
                <v:imagedata r:id="rId9" o:title=""/>
              </v:shape>
            </w:pict>
          </mc:Fallback>
        </mc:AlternateContent>
      </w:r>
      <w:r/>
    </w:p>
    <w:p>
      <w:pPr>
        <w:jc w:val="both"/>
        <w:spacing w:line="240" w:lineRule="auto"/>
        <w:rPr>
          <w:sz w:val="10"/>
          <w:szCs w:val="10"/>
          <w:u w:val="single"/>
        </w:rPr>
      </w:pPr>
      <w:r>
        <w:rPr>
          <w:sz w:val="16"/>
          <w:szCs w:val="16"/>
          <w:rtl w:val="false"/>
        </w:rPr>
        <w:t xml:space="preserve">Figure 1. The brain is modeled as a network of interconnected nodes, ea</w:t>
      </w:r>
      <w:r>
        <w:rPr>
          <w:sz w:val="16"/>
          <w:szCs w:val="16"/>
          <w:rtl w:val="false"/>
        </w:rPr>
        <w:t xml:space="preserve">ch governed by a neural mass model. Nodes exchange signals through three types of inputs: glutamatergic, GABAergic, and dopaminergic. Glutamatergic inputs excite the node, GABAergic inputs inhibit it, and dopaminergic inputs modulate its excitatory drive. </w:t>
      </w:r>
      <w:r>
        <w:rPr>
          <w:rtl w:val="false"/>
        </w:rPr>
      </w:r>
      <w:r/>
    </w:p>
    <w:p>
      <w:pPr>
        <w:jc w:val="both"/>
        <w:spacing w:line="240" w:lineRule="auto"/>
        <w:rPr>
          <w:u w:val="single"/>
        </w:rPr>
      </w:pPr>
      <w:r>
        <w:rPr>
          <w:u w:val="single"/>
          <w:rtl w:val="false"/>
        </w:rPr>
        <w:t xml:space="preserve">Model equations</w:t>
      </w:r>
      <w:r/>
    </w:p>
    <w:p>
      <w:pPr>
        <w:jc w:val="both"/>
        <w:spacing w:line="240" w:lineRule="auto"/>
        <w:rPr>
          <w:u w:val="single"/>
        </w:rPr>
      </w:pPr>
      <w:r>
        <w:rPr>
          <w:rtl w:val="false"/>
        </w:rPr>
      </w:r>
      <w:r/>
    </w:p>
    <w:p>
      <w:pPr>
        <w:jc w:val="both"/>
        <w:spacing w:after="220" w:line="240" w:lineRule="auto"/>
        <w:rPr>
          <w:b/>
          <w:color w:val="121212"/>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neural mass model presented here is an adapted version of the work of Gast et al (2) to account for the generic dynamics of neuromodulators, similarly to what has been proposed by </w:t>
      </w:r>
      <w:r>
        <w:rPr>
          <w:rtl w:val="false"/>
        </w:rPr>
        <w:t xml:space="preserve">Depannemaecker et al (3). This adaptation aims to capture the influence of neuromodulators on neural excitability, </w:t>
      </w:r>
      <w:r>
        <w:rPr>
          <w:color w:val="191919"/>
          <w:rtl w:val="false"/>
        </w:rPr>
        <w:t xml:space="preserve">namely dopamine via its D1 type receptor (D1R). In cell biology, D1R pathway activation increases</w:t>
      </w:r>
      <w:r>
        <w:rPr>
          <w:color w:val="191919"/>
          <w:rtl w:val="false"/>
        </w:rPr>
        <w:t xml:space="preserve"> the excitatory postsynaptic currents of AMPA and NMDA channels, as well as their synthesis and membrane expression (4). </w:t>
      </w:r>
      <w:r>
        <w:rPr>
          <w:color w:val="191919"/>
          <w:rtl w:val="false"/>
        </w:rPr>
        <w:t xml:space="preserve">In the model, we assume that dopamine enhances the excitatory input current of a node.</w:t>
      </w:r>
      <w:r>
        <w:rPr>
          <w:rtl w:val="false"/>
        </w:rPr>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model with the implementation of dopamine neuromodulation is the following:</w:t>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color w:val="191919"/>
        </w:rPr>
        <mc:AlternateContent>
          <mc:Choice Requires="wpg">
            <w:drawing>
              <wp:inline xmlns:wp="http://schemas.openxmlformats.org/drawingml/2006/wordprocessingDrawing" distT="0" distB="0" distL="0" distR="0">
                <wp:extent cx="5731200" cy="2006600"/>
                <wp:effectExtent l="0" t="0" r="0" b="0"/>
                <wp:docPr id="2" name="image4.png" hidden="0"/>
                <wp:cNvGraphicFramePr/>
                <a:graphic xmlns:a="http://schemas.openxmlformats.org/drawingml/2006/main">
                  <a:graphicData uri="http://schemas.openxmlformats.org/drawingml/2006/picture">
                    <pic:pic xmlns:pic="http://schemas.openxmlformats.org/drawingml/2006/picture">
                      <pic:nvPicPr>
                        <pic:cNvPr id="0" name="image4.png" hidden="0"/>
                        <pic:cNvPicPr/>
                        <pic:nvPr isPhoto="0" userDrawn="0"/>
                      </pic:nvPicPr>
                      <pic:blipFill>
                        <a:blip r:embed="rId10"/>
                        <a:srcRect l="0" t="0" r="0" b="0"/>
                        <a:stretch/>
                      </pic:blipFill>
                      <pic:spPr bwMode="auto">
                        <a:xfrm>
                          <a:off x="0" y="0"/>
                          <a:ext cx="5731200" cy="2006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1.3pt;height:158.0pt;">
                <v:path textboxrect="0,0,0,0"/>
                <v:imagedata r:id="rId10" o:title=""/>
              </v:shape>
            </w:pict>
          </mc:Fallback>
        </mc:AlternateContent>
      </w:r>
      <w:r>
        <w:rPr>
          <w:rtl w:val="false"/>
        </w:rPr>
      </w:r>
      <w:r/>
    </w:p>
    <w:p>
      <w:pPr>
        <w:jc w:val="both"/>
        <w:spacing w:after="220" w:line="240" w:lineRule="auto"/>
        <w:rPr>
          <w:b/>
          <w:i/>
          <w:color w:val="191919"/>
          <w:u w:val="single"/>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variables correspond to the firing rate </w:t>
      </w:r>
      <w:r>
        <w:rPr>
          <w:rFonts w:ascii="Lustria" w:hAnsi="Lustria" w:cs="Lustria" w:eastAsia="Lustria"/>
          <w:i/>
          <w:color w:val="191919"/>
          <w:rtl w:val="false"/>
        </w:rPr>
        <w:t xml:space="preserve">r</w:t>
      </w:r>
      <w:r>
        <w:rPr>
          <w:color w:val="191919"/>
          <w:rtl w:val="false"/>
        </w:rPr>
        <w:t xml:space="preserve">, the mean membrane potential </w:t>
      </w:r>
      <w:r>
        <w:rPr>
          <w:rFonts w:ascii="Lustria" w:hAnsi="Lustria" w:cs="Lustria" w:eastAsia="Lustria"/>
          <w:i/>
          <w:color w:val="191919"/>
          <w:rtl w:val="false"/>
        </w:rPr>
        <w:t xml:space="preserve">v</w:t>
      </w:r>
      <w:r>
        <w:rPr>
          <w:color w:val="191919"/>
          <w:rtl w:val="false"/>
        </w:rPr>
        <w:t xml:space="preserve">, the adaptation </w:t>
      </w:r>
      <w:r>
        <w:rPr>
          <w:rFonts w:ascii="Lustria" w:hAnsi="Lustria" w:cs="Lustria" w:eastAsia="Lustria"/>
          <w:i/>
          <w:color w:val="191919"/>
          <w:rtl w:val="false"/>
        </w:rPr>
        <w:t xml:space="preserve">u</w:t>
      </w:r>
      <w:r>
        <w:rPr>
          <w:color w:val="191919"/>
          <w:rtl w:val="false"/>
        </w:rPr>
        <w:t xml:space="preserve">, the excitatory and inhibitory inputs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a</w:t>
      </w:r>
      <w:r>
        <w:rPr>
          <w:color w:val="191919"/>
          <w:rtl w:val="false"/>
        </w:rPr>
        <w:t xml:space="preserve"> and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g</w:t>
      </w:r>
      <w:r>
        <w:rPr>
          <w:color w:val="191919"/>
          <w:rtl w:val="false"/>
        </w:rPr>
        <w:t xml:space="preserve">, the concentration of the neuromodulator </w:t>
      </w:r>
      <w:r>
        <w:rPr>
          <w:rFonts w:ascii="Lustria" w:hAnsi="Lustria" w:cs="Lustria" w:eastAsia="Lustria"/>
          <w:i/>
          <w:color w:val="191919"/>
          <w:rtl w:val="false"/>
        </w:rPr>
        <w:t xml:space="preserve">D</w:t>
      </w:r>
      <w:r>
        <w:rPr>
          <w:rFonts w:ascii="Lustria" w:hAnsi="Lustria" w:cs="Lustria" w:eastAsia="Lustria"/>
          <w:i/>
          <w:color w:val="191919"/>
          <w:vertAlign w:val="subscript"/>
          <w:rtl w:val="false"/>
        </w:rPr>
        <w:t xml:space="preserve">p</w:t>
      </w:r>
      <w:r>
        <w:rPr>
          <w:color w:val="191919"/>
          <w:rtl w:val="false"/>
        </w:rPr>
        <w:t xml:space="preserve">, and its receptor occupancy </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d</w:t>
      </w:r>
      <w:r>
        <w:rPr>
          <w:color w:val="191919"/>
          <w:rtl w:val="false"/>
        </w:rPr>
        <w:t xml:space="preserve">. Due to the relatively slow timescale of dopamine concentration changes, the variables </w:t>
      </w:r>
      <w:r>
        <w:rPr>
          <w:rFonts w:ascii="Lustria" w:hAnsi="Lustria" w:cs="Lustria" w:eastAsia="Lustria"/>
          <w:i/>
          <w:color w:val="191919"/>
          <w:rtl w:val="false"/>
        </w:rPr>
        <w:t xml:space="preserve">D</w:t>
      </w:r>
      <w:r>
        <w:rPr>
          <w:rFonts w:ascii="Lustria" w:hAnsi="Lustria" w:cs="Lustria" w:eastAsia="Lustria"/>
          <w:i/>
          <w:color w:val="191919"/>
          <w:vertAlign w:val="subscript"/>
          <w:rtl w:val="false"/>
        </w:rPr>
        <w:t xml:space="preserve">p</w:t>
      </w:r>
      <w:r>
        <w:rPr>
          <w:color w:val="191919"/>
          <w:rtl w:val="false"/>
        </w:rPr>
        <w:t xml:space="preserve"> and </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d </w:t>
      </w:r>
      <w:r>
        <w:rPr>
          <w:color w:val="191919"/>
          <w:rtl w:val="false"/>
        </w:rPr>
        <w:t xml:space="preserve">have significantly higher time constants compared to the others.</w:t>
      </w:r>
      <w:r>
        <w:rPr>
          <w:rtl w:val="false"/>
        </w:rPr>
      </w:r>
      <w:r/>
    </w:p>
    <w:p>
      <w:pPr>
        <w:jc w:val="both"/>
        <w:spacing w:after="220" w:line="240" w:lineRule="auto"/>
        <w:rPr>
          <w:rFonts w:ascii="Roboto" w:hAnsi="Roboto" w:cs="Roboto" w:eastAsia="Roboto"/>
          <w:color w:val="212121"/>
          <w:highlight w:val="white"/>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Excitatory and inhibitory conductance-based synapses are included via AMPA receptors of maximal conductance </w:t>
      </w:r>
      <w:r>
        <w:rPr>
          <w:rFonts w:ascii="Lustria" w:hAnsi="Lustria" w:cs="Lustria" w:eastAsia="Lustria"/>
          <w:i/>
          <w:color w:val="191919"/>
          <w:rtl w:val="false"/>
        </w:rPr>
        <w:t xml:space="preserve">g</w:t>
      </w:r>
      <w:r>
        <w:rPr>
          <w:rFonts w:ascii="Lustria" w:hAnsi="Lustria" w:cs="Lustria" w:eastAsia="Lustria"/>
          <w:i/>
          <w:color w:val="191919"/>
          <w:vertAlign w:val="subscript"/>
          <w:rtl w:val="false"/>
        </w:rPr>
        <w:t xml:space="preserve">a</w:t>
      </w:r>
      <w:r>
        <w:rPr>
          <w:color w:val="191919"/>
          <w:rtl w:val="false"/>
        </w:rPr>
        <w:t xml:space="preserve"> and reversal potential </w:t>
      </w:r>
      <w:r>
        <w:rPr>
          <w:rFonts w:ascii="Lustria" w:hAnsi="Lustria" w:cs="Lustria" w:eastAsia="Lustria"/>
          <w:i/>
          <w:color w:val="191919"/>
          <w:rtl w:val="false"/>
        </w:rPr>
        <w:t xml:space="preserve">E</w:t>
      </w:r>
      <w:r>
        <w:rPr>
          <w:rFonts w:ascii="Lustria" w:hAnsi="Lustria" w:cs="Lustria" w:eastAsia="Lustria"/>
          <w:i/>
          <w:color w:val="191919"/>
          <w:vertAlign w:val="subscript"/>
          <w:rtl w:val="false"/>
        </w:rPr>
        <w:t xml:space="preserve">a</w:t>
      </w:r>
      <w:r>
        <w:rPr>
          <w:color w:val="191919"/>
          <w:rtl w:val="false"/>
        </w:rPr>
        <w:t xml:space="preserve">, and with GABA receptors of maximal conductance </w:t>
      </w:r>
      <w:r>
        <w:rPr>
          <w:rFonts w:ascii="Lustria" w:hAnsi="Lustria" w:cs="Lustria" w:eastAsia="Lustria"/>
          <w:i/>
          <w:color w:val="191919"/>
          <w:rtl w:val="false"/>
        </w:rPr>
        <w:t xml:space="preserve">g</w:t>
      </w:r>
      <w:r>
        <w:rPr>
          <w:rFonts w:ascii="Lustria" w:hAnsi="Lustria" w:cs="Lustria" w:eastAsia="Lustria"/>
          <w:i/>
          <w:color w:val="191919"/>
          <w:vertAlign w:val="subscript"/>
          <w:rtl w:val="false"/>
        </w:rPr>
        <w:t xml:space="preserve">g</w:t>
      </w:r>
      <w:r>
        <w:rPr>
          <w:color w:val="191919"/>
          <w:rtl w:val="false"/>
        </w:rPr>
        <w:t xml:space="preserve"> and reversal potential </w:t>
      </w:r>
      <w:r>
        <w:rPr>
          <w:rFonts w:ascii="Lustria" w:hAnsi="Lustria" w:cs="Lustria" w:eastAsia="Lustria"/>
          <w:i/>
          <w:color w:val="191919"/>
          <w:rtl w:val="false"/>
        </w:rPr>
        <w:t xml:space="preserve">E</w:t>
      </w:r>
      <w:r>
        <w:rPr>
          <w:rFonts w:ascii="Lustria" w:hAnsi="Lustria" w:cs="Lustria" w:eastAsia="Lustria"/>
          <w:i/>
          <w:color w:val="191919"/>
          <w:vertAlign w:val="subscript"/>
          <w:rtl w:val="false"/>
        </w:rPr>
        <w:t xml:space="preserve">g</w:t>
      </w:r>
      <w:r>
        <w:rPr>
          <w:color w:val="191919"/>
          <w:rtl w:val="false"/>
        </w:rPr>
        <w:t xml:space="preserve">, respectively. The excitatory synaptic input to a node,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a</w:t>
      </w:r>
      <w:r>
        <w:rPr>
          <w:color w:val="191919"/>
          <w:rtl w:val="false"/>
        </w:rPr>
        <w:t xml:space="preserve">, depends on the signal received from all the other nodes connected to it, </w:t>
      </w:r>
      <w:r>
        <w:rPr>
          <w:rFonts w:ascii="Lustria" w:hAnsi="Lustria" w:cs="Lustria" w:eastAsia="Lustria"/>
          <w:i/>
          <w:color w:val="191919"/>
          <w:rtl w:val="false"/>
        </w:rPr>
        <w:t xml:space="preserve">c</w:t>
      </w:r>
      <w:r>
        <w:rPr>
          <w:rFonts w:ascii="Lustria" w:hAnsi="Lustria" w:cs="Lustria" w:eastAsia="Lustria"/>
          <w:i/>
          <w:color w:val="191919"/>
          <w:vertAlign w:val="subscript"/>
          <w:rtl w:val="false"/>
        </w:rPr>
        <w:t xml:space="preserve">exc</w:t>
      </w:r>
      <w:r>
        <w:rPr>
          <w:color w:val="191919"/>
          <w:rtl w:val="false"/>
        </w:rPr>
        <w:t xml:space="preserve">, scaled by a factor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ja</w:t>
      </w:r>
      <w:r>
        <w:rPr>
          <w:color w:val="191919"/>
          <w:rtl w:val="false"/>
        </w:rPr>
        <w:t xml:space="preserve">. Moreover, it accounts for the node’s self-excitatory input </w:t>
      </w:r>
      <w:r>
        <w:rPr>
          <w:rFonts w:ascii="Lustria" w:hAnsi="Lustria" w:cs="Lustria" w:eastAsia="Lustria"/>
          <w:i/>
          <w:color w:val="191919"/>
          <w:rtl w:val="false"/>
        </w:rPr>
        <w:t xml:space="preserve">r</w:t>
      </w:r>
      <w:r>
        <w:rPr>
          <w:color w:val="191919"/>
          <w:rtl w:val="false"/>
        </w:rPr>
        <w:t xml:space="preserve"> scaled by </w:t>
      </w:r>
      <w:r>
        <w:rPr>
          <w:rFonts w:ascii="Lustria" w:hAnsi="Lustria" w:cs="Lustria" w:eastAsia="Lustria"/>
          <w:i/>
          <w:color w:val="191919"/>
          <w:rtl w:val="false"/>
        </w:rPr>
        <w:t xml:space="preserve">J</w:t>
      </w:r>
      <w:r>
        <w:rPr>
          <w:rFonts w:ascii="Lustria" w:hAnsi="Lustria" w:cs="Lustria" w:eastAsia="Lustria"/>
          <w:i/>
          <w:color w:val="191919"/>
          <w:vertAlign w:val="subscript"/>
          <w:rtl w:val="false"/>
        </w:rPr>
        <w:t xml:space="preserve">a</w:t>
      </w:r>
      <w:r>
        <w:rPr>
          <w:color w:val="191919"/>
          <w:rtl w:val="false"/>
        </w:rPr>
        <w:t xml:space="preserve">. Similarly, the inhibitory input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g</w:t>
      </w:r>
      <w:r>
        <w:rPr>
          <w:color w:val="191919"/>
          <w:rtl w:val="false"/>
        </w:rPr>
        <w:t xml:space="preserve"> includes self-inhibition and external inputs from other connected nodes. </w:t>
      </w:r>
      <w:r>
        <w:rPr>
          <w:rtl w:val="false"/>
        </w:rPr>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effect of the neuromodulator is embedded by the multiplicative term </w:t>
      </w:r>
      <w:r>
        <w:rPr>
          <w:rFonts w:ascii="Lustria" w:hAnsi="Lustria" w:cs="Lustria" w:eastAsia="Lustria"/>
          <w:color w:val="191919"/>
          <w:rtl w:val="false"/>
        </w:rPr>
        <w:t xml:space="preserve">(</w:t>
      </w:r>
      <w:r>
        <w:rPr>
          <w:rFonts w:ascii="Lustria" w:hAnsi="Lustria" w:cs="Lustria" w:eastAsia="Lustria"/>
          <w:i/>
          <w:color w:val="191919"/>
          <w:rtl w:val="false"/>
        </w:rPr>
        <w:t xml:space="preserve">B</w:t>
      </w:r>
      <w:r>
        <w:rPr>
          <w:rFonts w:ascii="Lustria" w:hAnsi="Lustria" w:cs="Lustria" w:eastAsia="Lustria"/>
          <w:i/>
          <w:color w:val="191919"/>
          <w:vertAlign w:val="subscript"/>
          <w:rtl w:val="false"/>
        </w:rPr>
        <w:t xml:space="preserve">d</w:t>
      </w:r>
      <w:r>
        <w:rPr>
          <w:rFonts w:ascii="Lustria" w:hAnsi="Lustria" w:cs="Lustria" w:eastAsia="Lustria"/>
          <w:color w:val="191919"/>
          <w:rtl w:val="false"/>
        </w:rPr>
        <w:t xml:space="preserve">+</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d</w:t>
      </w:r>
      <w:r>
        <w:rPr>
          <w:color w:val="191919"/>
          <w:rtl w:val="false"/>
        </w:rPr>
        <w:t xml:space="preserve">) that affects the excitatory current of the node, where </w:t>
      </w:r>
      <w:r>
        <w:rPr>
          <w:rFonts w:ascii="Lustria" w:hAnsi="Lustria" w:cs="Lustria" w:eastAsia="Lustria"/>
          <w:i/>
          <w:color w:val="191919"/>
          <w:rtl w:val="false"/>
        </w:rPr>
        <w:t xml:space="preserve">B</w:t>
      </w:r>
      <w:r>
        <w:rPr>
          <w:rFonts w:ascii="Lustria" w:hAnsi="Lustria" w:cs="Lustria" w:eastAsia="Lustria"/>
          <w:i/>
          <w:color w:val="191919"/>
          <w:vertAlign w:val="subscript"/>
          <w:rtl w:val="false"/>
        </w:rPr>
        <w:t xml:space="preserve">d</w:t>
      </w:r>
      <w:r>
        <w:rPr>
          <w:color w:val="191919"/>
          <w:rtl w:val="false"/>
        </w:rPr>
        <w:t xml:space="preserve"> is the baseline accounting for synapses in the absence of dopamine. </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d</w:t>
      </w:r>
      <w:r>
        <w:rPr>
          <w:color w:val="191919"/>
          <w:rtl w:val="false"/>
        </w:rPr>
        <w:t xml:space="preserve"> is modeled with a classical sigmoidal dose-response curve dependent on the dopamine concentration </w:t>
      </w:r>
      <w:r>
        <w:rPr>
          <w:rFonts w:ascii="Lustria" w:hAnsi="Lustria" w:cs="Lustria" w:eastAsia="Lustria"/>
          <w:i/>
          <w:color w:val="191919"/>
          <w:rtl w:val="false"/>
        </w:rPr>
        <w:t xml:space="preserve">D</w:t>
      </w:r>
      <w:r>
        <w:rPr>
          <w:rFonts w:ascii="Lustria" w:hAnsi="Lustria" w:cs="Lustria" w:eastAsia="Lustria"/>
          <w:i/>
          <w:color w:val="191919"/>
          <w:vertAlign w:val="subscript"/>
          <w:rtl w:val="false"/>
        </w:rPr>
        <w:t xml:space="preserve">p</w:t>
      </w:r>
      <w:r>
        <w:rPr>
          <w:color w:val="191919"/>
          <w:rtl w:val="false"/>
        </w:rPr>
        <w:t xml:space="preserve"> at the node, where </w:t>
      </w:r>
      <w:r>
        <w:rPr>
          <w:rFonts w:ascii="Lustria" w:hAnsi="Lustria" w:cs="Lustria" w:eastAsia="Lustria"/>
          <w:i/>
          <w:color w:val="191919"/>
          <w:rtl w:val="false"/>
        </w:rPr>
        <w:t xml:space="preserve">R</w:t>
      </w:r>
      <w:r>
        <w:rPr>
          <w:rFonts w:ascii="Lustria" w:hAnsi="Lustria" w:cs="Lustria" w:eastAsia="Lustria"/>
          <w:i/>
          <w:color w:val="191919"/>
          <w:vertAlign w:val="subscript"/>
          <w:rtl w:val="false"/>
        </w:rPr>
        <w:t xml:space="preserve">d</w:t>
      </w:r>
      <w:r>
        <w:rPr>
          <w:color w:val="191919"/>
          <w:rtl w:val="false"/>
        </w:rPr>
        <w:t xml:space="preserve"> is its number of receptors for the neuromodulator (see also later) and </w:t>
      </w:r>
      <w:r>
        <w:rPr>
          <w:rFonts w:ascii="Lustria" w:hAnsi="Lustria" w:cs="Lustria" w:eastAsia="Lustria"/>
          <w:i/>
          <w:color w:val="191919"/>
          <w:rtl w:val="false"/>
        </w:rPr>
        <w:t xml:space="preserve">s</w:t>
      </w:r>
      <w:r>
        <w:rPr>
          <w:rFonts w:ascii="Lustria" w:hAnsi="Lustria" w:cs="Lustria" w:eastAsia="Lustria"/>
          <w:i/>
          <w:color w:val="191919"/>
          <w:vertAlign w:val="subscript"/>
          <w:rtl w:val="false"/>
        </w:rPr>
        <w:t xml:space="preserve">d</w:t>
      </w:r>
      <w:r>
        <w:rPr>
          <w:color w:val="191919"/>
          <w:rtl w:val="false"/>
        </w:rPr>
        <w:t xml:space="preserve"> and </w:t>
      </w:r>
      <w:r>
        <w:rPr>
          <w:rFonts w:ascii="Lustria" w:hAnsi="Lustria" w:cs="Lustria" w:eastAsia="Lustria"/>
          <w:i/>
          <w:color w:val="191919"/>
          <w:rtl w:val="false"/>
        </w:rPr>
        <w:t xml:space="preserve">Z</w:t>
      </w:r>
      <w:r>
        <w:rPr>
          <w:color w:val="191919"/>
          <w:rtl w:val="false"/>
        </w:rPr>
        <w:t xml:space="preserve"> are parameters related to the receptor’s affinity and occupancy. The average concentration of dopamine </w:t>
      </w:r>
      <w:r>
        <w:rPr>
          <w:rFonts w:ascii="Lustria" w:hAnsi="Lustria" w:cs="Lustria" w:eastAsia="Lustria"/>
          <w:i/>
          <w:color w:val="191919"/>
          <w:rtl w:val="false"/>
        </w:rPr>
        <w:t xml:space="preserve">D</w:t>
      </w:r>
      <w:r>
        <w:rPr>
          <w:rFonts w:ascii="Lustria" w:hAnsi="Lustria" w:cs="Lustria" w:eastAsia="Lustria"/>
          <w:i/>
          <w:color w:val="191919"/>
          <w:vertAlign w:val="subscript"/>
          <w:rtl w:val="false"/>
        </w:rPr>
        <w:t xml:space="preserve">p</w:t>
      </w:r>
      <w:r>
        <w:rPr>
          <w:color w:val="191919"/>
          <w:rtl w:val="false"/>
        </w:rPr>
        <w:t xml:space="preserve"> at the node depends on the dopaminergic inputs </w:t>
      </w:r>
      <w:r>
        <w:rPr>
          <w:rFonts w:ascii="Lustria" w:hAnsi="Lustria" w:cs="Lustria" w:eastAsia="Lustria"/>
          <w:i/>
          <w:color w:val="191919"/>
          <w:rtl w:val="false"/>
        </w:rPr>
        <w:t xml:space="preserve">c</w:t>
      </w:r>
      <w:r>
        <w:rPr>
          <w:rFonts w:ascii="Lustria" w:hAnsi="Lustria" w:cs="Lustria" w:eastAsia="Lustria"/>
          <w:i/>
          <w:color w:val="191919"/>
          <w:vertAlign w:val="subscript"/>
          <w:rtl w:val="false"/>
        </w:rPr>
        <w:t xml:space="preserve">dopa</w:t>
      </w:r>
      <w:r>
        <w:rPr>
          <w:color w:val="191919"/>
          <w:rtl w:val="false"/>
        </w:rPr>
        <w:t xml:space="preserve"> received by the node, scaled by a factor </w:t>
      </w:r>
      <w:r>
        <w:rPr>
          <w:rFonts w:ascii="Lustria" w:hAnsi="Lustria" w:cs="Lustria" w:eastAsia="Lustria"/>
          <w:i/>
          <w:color w:val="191919"/>
          <w:rtl w:val="false"/>
        </w:rPr>
        <w:t xml:space="preserve">k,</w:t>
      </w:r>
      <w:r>
        <w:rPr>
          <w:color w:val="191919"/>
          <w:rtl w:val="false"/>
        </w:rPr>
        <w:t xml:space="preserve"> and on the reuptake of the neurotransmitter. This latter is described by the Michaelis-Menten equation for the Dopamine Transporter (DAT), which reuptakes the dopamine from the synaptic cleft at a maximal rate </w:t>
      </w:r>
      <w:r>
        <w:rPr>
          <w:rFonts w:ascii="Lustria" w:hAnsi="Lustria" w:cs="Lustria" w:eastAsia="Lustria"/>
          <w:i/>
          <w:color w:val="191919"/>
          <w:rtl w:val="false"/>
        </w:rPr>
        <w:t xml:space="preserve">V</w:t>
      </w:r>
      <w:r>
        <w:rPr>
          <w:rFonts w:ascii="Lustria" w:hAnsi="Lustria" w:cs="Lustria" w:eastAsia="Lustria"/>
          <w:i/>
          <w:color w:val="191919"/>
          <w:vertAlign w:val="subscript"/>
          <w:rtl w:val="false"/>
        </w:rPr>
        <w:t xml:space="preserve">max</w:t>
      </w:r>
      <w:r>
        <w:rPr>
          <w:color w:val="191919"/>
          <w:rtl w:val="false"/>
        </w:rPr>
        <w:t xml:space="preserve"> and with Michaelis constant </w:t>
      </w:r>
      <w:r>
        <w:rPr>
          <w:rFonts w:ascii="Lustria" w:hAnsi="Lustria" w:cs="Lustria" w:eastAsia="Lustria"/>
          <w:i/>
          <w:color w:val="191919"/>
          <w:rtl w:val="false"/>
        </w:rPr>
        <w:t xml:space="preserve">K</w:t>
      </w:r>
      <w:r>
        <w:rPr>
          <w:rFonts w:ascii="Lustria" w:hAnsi="Lustria" w:cs="Lustria" w:eastAsia="Lustria"/>
          <w:i/>
          <w:color w:val="191919"/>
          <w:vertAlign w:val="subscript"/>
          <w:rtl w:val="false"/>
        </w:rPr>
        <w:t xml:space="preserve">m</w:t>
      </w:r>
      <w:r>
        <w:rPr>
          <w:color w:val="191919"/>
          <w:rtl w:val="false"/>
        </w:rPr>
        <w:t xml:space="preserve">.</w:t>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rtl w:val="false"/>
        </w:rPr>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rtl w:val="false"/>
        </w:rPr>
      </w:r>
      <w:r/>
    </w:p>
    <w:p>
      <w:pPr>
        <w:jc w:val="both"/>
        <w:spacing w:after="220" w:line="240" w:lineRule="auto"/>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Here is a table with the parameter values that are used in simulations. Note that while many of them remain fixed, some might change to catch different dynamics of the network. </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-47624</wp:posOffset>
                </wp:positionH>
                <wp:positionV relativeFrom="paragraph">
                  <wp:posOffset>114300</wp:posOffset>
                </wp:positionV>
                <wp:extent cx="2908935" cy="2720155"/>
                <wp:effectExtent l="0" t="0" r="0" b="0"/>
                <wp:wrapSquare wrapText="bothSides"/>
                <wp:docPr id="3" name="image5.png" hidden="0"/>
                <wp:cNvGraphicFramePr/>
                <a:graphic xmlns:a="http://schemas.openxmlformats.org/drawingml/2006/main">
                  <a:graphicData uri="http://schemas.openxmlformats.org/drawingml/2006/picture">
                    <pic:pic xmlns:pic="http://schemas.openxmlformats.org/drawingml/2006/picture">
                      <pic:nvPicPr>
                        <pic:cNvPr id="0" name="image5.png" hidden="0"/>
                        <pic:cNvPicPr/>
                        <pic:nvPr isPhoto="0" userDrawn="0"/>
                      </pic:nvPicPr>
                      <pic:blipFill>
                        <a:blip r:embed="rId11"/>
                        <a:srcRect l="0" t="0" r="0" b="0"/>
                        <a:stretch/>
                      </pic:blipFill>
                      <pic:spPr bwMode="auto">
                        <a:xfrm>
                          <a:off x="0" y="0"/>
                          <a:ext cx="2908935" cy="2720154"/>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9.0pt;mso-wrap-distance-right:9.0pt;mso-wrap-distance-bottom:9.0pt;z-index:0;o:allowoverlap:true;o:allowincell:true;mso-position-horizontal-relative:text;margin-left:-3.7pt;mso-position-horizontal:absolute;mso-position-vertical-relative:text;margin-top:9.0pt;mso-position-vertical:absolute;width:229.0pt;height:214.2pt;">
                <v:path textboxrect="0,0,0,0"/>
                <v:imagedata r:id="rId11" o:title=""/>
              </v:shape>
            </w:pict>
          </mc:Fallback>
        </mc:AlternateContent>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rtl w:val="false"/>
        </w:rPr>
      </w:r>
      <w:r/>
    </w:p>
    <w:p>
      <w:pPr>
        <w:jc w:val="both"/>
        <w:spacing w:line="240" w:lineRule="auto"/>
        <w:rPr>
          <w:u w:val="single"/>
        </w:rPr>
      </w:pPr>
      <w:r>
        <w:rPr>
          <w:u w:val="single"/>
          <w:rtl w:val="false"/>
        </w:rPr>
        <w:t xml:space="preserve">Connectivity implementation</w:t>
      </w:r>
      <w:r/>
    </w:p>
    <w:p>
      <w:r>
        <w:rPr>
          <w:rtl w:val="false"/>
        </w:rPr>
      </w:r>
      <w:r/>
    </w:p>
    <w:p>
      <w:pPr>
        <w:jc w:val="both"/>
        <w:spacing w:after="22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model allows for three different types of connections, glutamatergic, GABAergic, and dopaminergic. The inputs received by a node can change the activity of the node’s AMPA or GABA synapses or its dopamine concentration via the </w:t>
      </w:r>
      <w:r>
        <w:rPr>
          <w:rFonts w:ascii="Lustria" w:hAnsi="Lustria" w:cs="Lustria" w:eastAsia="Lustria"/>
          <w:i/>
          <w:color w:val="191919"/>
          <w:rtl w:val="false"/>
        </w:rPr>
        <w:t xml:space="preserve">c</w:t>
      </w:r>
      <w:r>
        <w:rPr>
          <w:rFonts w:ascii="Lustria" w:hAnsi="Lustria" w:cs="Lustria" w:eastAsia="Lustria"/>
          <w:i/>
          <w:color w:val="191919"/>
          <w:vertAlign w:val="subscript"/>
          <w:rtl w:val="false"/>
        </w:rPr>
        <w:t xml:space="preserve">exc</w:t>
      </w:r>
      <w:r>
        <w:rPr>
          <w:color w:val="191919"/>
          <w:rtl w:val="false"/>
        </w:rPr>
        <w:t xml:space="preserve">, </w:t>
      </w:r>
      <w:r>
        <w:rPr>
          <w:rFonts w:ascii="Lustria" w:hAnsi="Lustria" w:cs="Lustria" w:eastAsia="Lustria"/>
          <w:i/>
          <w:color w:val="191919"/>
          <w:rtl w:val="false"/>
        </w:rPr>
        <w:t xml:space="preserve">c</w:t>
      </w:r>
      <w:r>
        <w:rPr>
          <w:rFonts w:ascii="Lustria" w:hAnsi="Lustria" w:cs="Lustria" w:eastAsia="Lustria"/>
          <w:i/>
          <w:color w:val="191919"/>
          <w:vertAlign w:val="subscript"/>
          <w:rtl w:val="false"/>
        </w:rPr>
        <w:t xml:space="preserve">inh</w:t>
      </w:r>
      <w:r>
        <w:rPr>
          <w:color w:val="191919"/>
          <w:rtl w:val="false"/>
        </w:rPr>
        <w:t xml:space="preserve">, </w:t>
      </w:r>
      <w:r>
        <w:rPr>
          <w:rFonts w:ascii="Lustria" w:hAnsi="Lustria" w:cs="Lustria" w:eastAsia="Lustria"/>
          <w:i/>
          <w:color w:val="191919"/>
          <w:rtl w:val="false"/>
        </w:rPr>
        <w:t xml:space="preserve">c</w:t>
      </w:r>
      <w:r>
        <w:rPr>
          <w:rFonts w:ascii="Lustria" w:hAnsi="Lustria" w:cs="Lustria" w:eastAsia="Lustria"/>
          <w:i/>
          <w:color w:val="191919"/>
          <w:vertAlign w:val="subscript"/>
          <w:rtl w:val="false"/>
        </w:rPr>
        <w:t xml:space="preserve">dopa</w:t>
      </w:r>
      <w:r>
        <w:rPr>
          <w:color w:val="191919"/>
          <w:rtl w:val="false"/>
        </w:rPr>
        <w:t xml:space="preserve"> terms respectively. In general </w:t>
      </w:r>
      <w:r/>
    </w:p>
    <w:p>
      <w:pPr>
        <w:jc w:val="center"/>
        <w:spacing w:after="220"/>
        <w:rPr>
          <w:color w:val="191919"/>
        </w:rPr>
        <w:pBdr>
          <w:top w:val="none" w:color="auto" w:sz="0" w:space="0"/>
          <w:left w:val="none" w:color="auto" w:sz="0" w:space="0"/>
          <w:bottom w:val="none" w:color="auto" w:sz="0" w:space="0"/>
          <w:right w:val="none" w:color="auto" w:sz="0" w:space="0"/>
          <w:between w:val="none" w:color="auto" w:sz="0" w:space="0"/>
        </w:pBdr>
      </w:pPr>
      <w:r>
        <w:rPr>
          <w:color w:val="191919"/>
        </w:rPr>
        <mc:AlternateContent>
          <mc:Choice Requires="wpg">
            <w:drawing>
              <wp:inline xmlns:wp="http://schemas.openxmlformats.org/drawingml/2006/wordprocessingDrawing" distT="0" distB="0" distL="0" distR="0">
                <wp:extent cx="1954050" cy="618025"/>
                <wp:effectExtent l="0" t="0" r="0" b="0"/>
                <wp:docPr id="4" name="image2.png" hidden="0"/>
                <wp:cNvGraphicFramePr/>
                <a:graphic xmlns:a="http://schemas.openxmlformats.org/drawingml/2006/main">
                  <a:graphicData uri="http://schemas.openxmlformats.org/drawingml/2006/picture">
                    <pic:pic xmlns:pic="http://schemas.openxmlformats.org/drawingml/2006/picture">
                      <pic:nvPicPr>
                        <pic:cNvPr id="0" name="image2.png" hidden="0"/>
                        <pic:cNvPicPr/>
                        <pic:nvPr isPhoto="0" userDrawn="0"/>
                      </pic:nvPicPr>
                      <pic:blipFill>
                        <a:blip r:embed="rId12"/>
                        <a:srcRect l="0" t="0" r="0" b="0"/>
                        <a:stretch/>
                      </pic:blipFill>
                      <pic:spPr bwMode="auto">
                        <a:xfrm>
                          <a:off x="0" y="0"/>
                          <a:ext cx="1954050" cy="6180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53.9pt;height:48.7pt;">
                <v:path textboxrect="0,0,0,0"/>
                <v:imagedata r:id="rId12" o:title=""/>
              </v:shape>
            </w:pict>
          </mc:Fallback>
        </mc:AlternateContent>
      </w:r>
      <w:r>
        <w:rPr>
          <w:rtl w:val="false"/>
        </w:rPr>
      </w:r>
      <w:r/>
    </w:p>
    <w:p>
      <w:pPr>
        <w:jc w:val="both"/>
        <w:spacing w:after="22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where </w:t>
      </w:r>
      <w:r/>
    </w:p>
    <w:p>
      <w:pPr>
        <w:numPr>
          <w:ilvl w:val="0"/>
          <w:numId w:val="2"/>
        </w:numPr>
        <w:ind w:left="720" w:hanging="360"/>
        <w:jc w:val="both"/>
        <w:spacing w:after="0" w:afterAutospacing="0"/>
        <w:rPr>
          <w:color w:val="191919"/>
          <w:u w:val="none"/>
        </w:rPr>
        <w:pBdr>
          <w:top w:val="none" w:color="auto" w:sz="0" w:space="0"/>
          <w:left w:val="none" w:color="auto" w:sz="0" w:space="0"/>
          <w:bottom w:val="none" w:color="auto" w:sz="0" w:space="0"/>
          <w:right w:val="none" w:color="auto" w:sz="0" w:space="0"/>
          <w:between w:val="none" w:color="auto" w:sz="0" w:space="0"/>
        </w:pBdr>
      </w:pPr>
      <w:r>
        <w:rPr>
          <w:rFonts w:ascii="Lustria" w:hAnsi="Lustria" w:cs="Lustria" w:eastAsia="Lustria"/>
          <w:i/>
          <w:color w:val="191919"/>
          <w:rtl w:val="false"/>
        </w:rPr>
        <w:t xml:space="preserve">p</w:t>
      </w:r>
      <w:r>
        <w:rPr>
          <w:color w:val="191919"/>
          <w:rtl w:val="false"/>
        </w:rPr>
        <w:t xml:space="preserve"> is a specific type of projection (glutamatergic, GABAergic, or dopaminergic), </w:t>
      </w:r>
      <w:r/>
    </w:p>
    <w:p>
      <w:pPr>
        <w:numPr>
          <w:ilvl w:val="0"/>
          <w:numId w:val="2"/>
        </w:numPr>
        <w:ind w:left="720" w:hanging="360"/>
        <w:jc w:val="both"/>
        <w:spacing w:after="0" w:afterAutospacing="0"/>
        <w:rPr>
          <w:color w:val="191919"/>
          <w:u w:val="none"/>
        </w:rPr>
        <w:pBdr>
          <w:top w:val="none" w:color="auto" w:sz="0" w:space="0"/>
          <w:left w:val="none" w:color="auto" w:sz="0" w:space="0"/>
          <w:bottom w:val="none" w:color="auto" w:sz="0" w:space="0"/>
          <w:right w:val="none" w:color="auto" w:sz="0" w:space="0"/>
          <w:between w:val="none" w:color="auto" w:sz="0" w:space="0"/>
        </w:pBdr>
      </w:pPr>
      <w:r>
        <w:rPr>
          <w:rFonts w:ascii="Lustria" w:hAnsi="Lustria" w:cs="Lustria" w:eastAsia="Lustria"/>
          <w:i/>
          <w:color w:val="191919"/>
          <w:rtl w:val="false"/>
        </w:rPr>
        <w:t xml:space="preserve">w</w:t>
      </w:r>
      <w:r>
        <w:rPr>
          <w:color w:val="191919"/>
          <w:rtl w:val="false"/>
        </w:rPr>
        <w:t xml:space="preserve"> is a scaling factor, </w:t>
      </w:r>
      <w:r>
        <w:rPr>
          <w:rFonts w:ascii="Lustria" w:hAnsi="Lustria" w:cs="Lustria" w:eastAsia="Lustria"/>
          <w:i/>
          <w:color w:val="191919"/>
          <w:rtl w:val="false"/>
        </w:rPr>
        <w:t xml:space="preserve">k</w:t>
      </w:r>
      <w:r>
        <w:rPr>
          <w:rFonts w:ascii="Lustria" w:hAnsi="Lustria" w:cs="Lustria" w:eastAsia="Lustria"/>
          <w:i/>
          <w:color w:val="191919"/>
          <w:vertAlign w:val="subscript"/>
          <w:rtl w:val="false"/>
        </w:rPr>
        <w:t xml:space="preserve">ij </w:t>
      </w:r>
      <w:r>
        <w:rPr>
          <w:color w:val="191919"/>
          <w:rtl w:val="false"/>
        </w:rPr>
        <w:t xml:space="preserve">is the weight of the connection between node</w:t>
      </w:r>
      <w:r>
        <w:rPr>
          <w:rFonts w:ascii="Lustria" w:hAnsi="Lustria" w:cs="Lustria" w:eastAsia="Lustria"/>
          <w:i/>
          <w:color w:val="191919"/>
          <w:rtl w:val="false"/>
        </w:rPr>
        <w:t xml:space="preserve"> i</w:t>
      </w:r>
      <w:r>
        <w:rPr>
          <w:color w:val="191919"/>
          <w:rtl w:val="false"/>
        </w:rPr>
        <w:t xml:space="preserve"> and node</w:t>
      </w:r>
      <w:r>
        <w:rPr>
          <w:rFonts w:ascii="Lustria" w:hAnsi="Lustria" w:cs="Lustria" w:eastAsia="Lustria"/>
          <w:i/>
          <w:color w:val="191919"/>
          <w:rtl w:val="false"/>
        </w:rPr>
        <w:t xml:space="preserve"> j</w:t>
      </w:r>
      <w:r>
        <w:rPr>
          <w:color w:val="191919"/>
          <w:rtl w:val="false"/>
        </w:rPr>
        <w:t xml:space="preserve"> taken from the matrix of the weights of the connectome obtained with tractography,</w:t>
      </w:r>
      <w:r/>
    </w:p>
    <w:p>
      <w:pPr>
        <w:numPr>
          <w:ilvl w:val="0"/>
          <w:numId w:val="2"/>
        </w:numPr>
        <w:ind w:left="720" w:hanging="360"/>
        <w:jc w:val="both"/>
        <w:spacing w:after="0" w:afterAutospacing="0"/>
        <w:rPr>
          <w:color w:val="191919"/>
          <w:u w:val="none"/>
        </w:rPr>
        <w:pBdr>
          <w:top w:val="none" w:color="auto" w:sz="0" w:space="0"/>
          <w:left w:val="none" w:color="auto" w:sz="0" w:space="0"/>
          <w:bottom w:val="none" w:color="auto" w:sz="0" w:space="0"/>
          <w:right w:val="none" w:color="auto" w:sz="0" w:space="0"/>
          <w:between w:val="none" w:color="auto" w:sz="0" w:space="0"/>
        </w:pBdr>
      </w:pP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p, ij</w:t>
      </w:r>
      <w:r>
        <w:rPr>
          <w:color w:val="191919"/>
          <w:rtl w:val="false"/>
        </w:rPr>
        <w:t xml:space="preserve"> is a value that can be either 0 or 1 depending on the type of projection between nodes</w:t>
      </w:r>
      <w:r>
        <w:rPr>
          <w:rFonts w:ascii="Lustria" w:hAnsi="Lustria" w:cs="Lustria" w:eastAsia="Lustria"/>
          <w:i/>
          <w:color w:val="191919"/>
          <w:rtl w:val="false"/>
        </w:rPr>
        <w:t xml:space="preserve"> i</w:t>
      </w:r>
      <w:r>
        <w:rPr>
          <w:color w:val="191919"/>
          <w:rtl w:val="false"/>
        </w:rPr>
        <w:t xml:space="preserve"> and</w:t>
      </w:r>
      <w:r>
        <w:rPr>
          <w:rFonts w:ascii="Lustria" w:hAnsi="Lustria" w:cs="Lustria" w:eastAsia="Lustria"/>
          <w:i/>
          <w:color w:val="191919"/>
          <w:rtl w:val="false"/>
        </w:rPr>
        <w:t xml:space="preserve"> j</w:t>
      </w:r>
      <w:r>
        <w:rPr>
          <w:color w:val="191919"/>
          <w:rtl w:val="false"/>
        </w:rPr>
        <w:t xml:space="preserve"> taken from the so-called “connectivity masks”,</w:t>
      </w:r>
      <w:r/>
    </w:p>
    <w:p>
      <w:pPr>
        <w:numPr>
          <w:ilvl w:val="0"/>
          <w:numId w:val="2"/>
        </w:numPr>
        <w:ind w:left="720" w:hanging="360"/>
        <w:jc w:val="both"/>
        <w:spacing w:after="220"/>
        <w:rPr>
          <w:color w:val="191919"/>
          <w:u w:val="none"/>
        </w:rPr>
        <w:pBdr>
          <w:top w:val="none" w:color="auto" w:sz="0" w:space="0"/>
          <w:left w:val="none" w:color="auto" w:sz="0" w:space="0"/>
          <w:bottom w:val="none" w:color="auto" w:sz="0" w:space="0"/>
          <w:right w:val="none" w:color="auto" w:sz="0" w:space="0"/>
          <w:between w:val="none" w:color="auto" w:sz="0" w:space="0"/>
        </w:pBdr>
      </w:pPr>
      <w:r>
        <w:rPr>
          <w:rFonts w:ascii="Lustria" w:hAnsi="Lustria" w:cs="Lustria" w:eastAsia="Lustria"/>
          <w:i/>
          <w:color w:val="191919"/>
          <w:rtl w:val="false"/>
        </w:rPr>
        <w:t xml:space="preserve">r</w:t>
      </w:r>
      <w:r>
        <w:rPr>
          <w:color w:val="191919"/>
          <w:rtl w:val="false"/>
        </w:rPr>
        <w:t xml:space="preserve"> is the input firing rate received by node</w:t>
      </w:r>
      <w:r>
        <w:rPr>
          <w:rFonts w:ascii="Lustria" w:hAnsi="Lustria" w:cs="Lustria" w:eastAsia="Lustria"/>
          <w:i/>
          <w:color w:val="191919"/>
          <w:rtl w:val="false"/>
        </w:rPr>
        <w:t xml:space="preserve"> i</w:t>
      </w:r>
      <w:r>
        <w:rPr>
          <w:color w:val="191919"/>
          <w:rtl w:val="false"/>
        </w:rPr>
        <w:t xml:space="preserve"> from node</w:t>
      </w:r>
      <w:r>
        <w:rPr>
          <w:rFonts w:ascii="Lustria" w:hAnsi="Lustria" w:cs="Lustria" w:eastAsia="Lustria"/>
          <w:i/>
          <w:color w:val="191919"/>
          <w:rtl w:val="false"/>
        </w:rPr>
        <w:t xml:space="preserve"> j</w:t>
      </w:r>
      <w:r>
        <w:rPr>
          <w:color w:val="191919"/>
          <w:rtl w:val="false"/>
        </w:rPr>
        <w:t xml:space="preserve">. </w:t>
      </w:r>
      <w:r/>
    </w:p>
    <w:p>
      <w:pPr>
        <w:jc w:val="both"/>
        <w:spacing w:after="22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connectivity masks are boolean matrices specific for type of connection (glutamatergic, GABAergic, or dopaminergic). For a given connection type, </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ij</w:t>
      </w:r>
      <w:r>
        <w:rPr>
          <w:rFonts w:ascii="Lustria" w:hAnsi="Lustria" w:cs="Lustria" w:eastAsia="Lustria"/>
          <w:i/>
          <w:color w:val="191919"/>
          <w:rtl w:val="false"/>
        </w:rPr>
        <w:t xml:space="preserve"> = 1</w:t>
      </w:r>
      <w:r>
        <w:rPr>
          <w:color w:val="191919"/>
          <w:rtl w:val="false"/>
        </w:rPr>
        <w:t xml:space="preserve"> if nodes </w:t>
      </w:r>
      <w:r>
        <w:rPr>
          <w:rFonts w:ascii="Lustria" w:hAnsi="Lustria" w:cs="Lustria" w:eastAsia="Lustria"/>
          <w:i/>
          <w:color w:val="191919"/>
          <w:rtl w:val="false"/>
        </w:rPr>
        <w:t xml:space="preserve">i</w:t>
      </w:r>
      <w:r>
        <w:rPr>
          <w:color w:val="191919"/>
          <w:rtl w:val="false"/>
        </w:rPr>
        <w:t xml:space="preserve">  and </w:t>
      </w:r>
      <w:r>
        <w:rPr>
          <w:rFonts w:ascii="Lustria" w:hAnsi="Lustria" w:cs="Lustria" w:eastAsia="Lustria"/>
          <w:i/>
          <w:color w:val="191919"/>
          <w:rtl w:val="false"/>
        </w:rPr>
        <w:t xml:space="preserve">j</w:t>
      </w:r>
      <w:r>
        <w:rPr>
          <w:color w:val="191919"/>
          <w:rtl w:val="false"/>
        </w:rPr>
        <w:t xml:space="preserve"> are connected via that type; otherwise, </w:t>
      </w:r>
      <w:r>
        <w:rPr>
          <w:rFonts w:ascii="Lustria" w:hAnsi="Lustria" w:cs="Lustria" w:eastAsia="Lustria"/>
          <w:i/>
          <w:color w:val="191919"/>
          <w:rtl w:val="false"/>
        </w:rPr>
        <w:t xml:space="preserve">m</w:t>
      </w:r>
      <w:r>
        <w:rPr>
          <w:rFonts w:ascii="Lustria" w:hAnsi="Lustria" w:cs="Lustria" w:eastAsia="Lustria"/>
          <w:i/>
          <w:color w:val="191919"/>
          <w:vertAlign w:val="subscript"/>
          <w:rtl w:val="false"/>
        </w:rPr>
        <w:t xml:space="preserve">ij</w:t>
      </w:r>
      <w:r>
        <w:rPr>
          <w:rFonts w:ascii="Lustria" w:hAnsi="Lustria" w:cs="Lustria" w:eastAsia="Lustria"/>
          <w:i/>
          <w:color w:val="191919"/>
          <w:rtl w:val="false"/>
        </w:rPr>
        <w:t xml:space="preserve"> = 0</w:t>
      </w:r>
      <w:r>
        <w:rPr>
          <w:color w:val="191919"/>
          <w:rtl w:val="false"/>
        </w:rPr>
        <w:t xml:space="preserve">. Multip</w:t>
      </w:r>
      <w:r>
        <w:rPr>
          <w:color w:val="191919"/>
          <w:rtl w:val="false"/>
        </w:rPr>
        <w:t xml:space="preserve">lying the tractography matrix by the corresponding mask isolates the inputs that a node receives from connections of a specific type, ensuring the node processes only inputs linked by the designated connectivity pattern. Two assumptions are made. First, wh</w:t>
      </w:r>
      <w:r>
        <w:rPr>
          <w:color w:val="191919"/>
          <w:rtl w:val="false"/>
        </w:rPr>
        <w:t xml:space="preserve">ile a node can send and receive connections of different types, any single connection to a node is of one type only. Second, because tractography imaging cannot determine the nature of a connection, the masks must be constructed using anatomical knowledge.</w:t>
      </w:r>
      <w:r/>
    </w:p>
    <w:p>
      <w:pPr>
        <w:jc w:val="both"/>
        <w:spacing w:before="240" w:after="24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To address this, we created a set of connectivity masks based on established anatomical pathways ( 5, 6, 7, 8, 9, 10), including:</w:t>
      </w:r>
      <w:r/>
    </w:p>
    <w:p>
      <w:pPr>
        <w:numPr>
          <w:ilvl w:val="0"/>
          <w:numId w:val="5"/>
        </w:numPr>
        <w:ind w:left="720" w:hanging="360"/>
        <w:jc w:val="both"/>
        <w:spacing w:before="240" w:after="0" w:afterAutospacing="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The classical GABAergic circuitry of the basal ganglia, excluding the subthalamic nucleus, and considering the Substantia Nigra pars reticulata (SNr) as part of the Globus pallidus (PA)</w:t>
      </w:r>
      <w:r/>
    </w:p>
    <w:p>
      <w:pPr>
        <w:numPr>
          <w:ilvl w:val="0"/>
          <w:numId w:val="5"/>
        </w:numPr>
        <w:ind w:left="720" w:hanging="360"/>
        <w:jc w:val="both"/>
        <w:spacing w:before="0" w:beforeAutospacing="0" w:after="0" w:afterAutospacing="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GABAergic projections from the Putamen (PU) and the Caudate nucleus (CA) to the Substantia Nigra pars compacta (SNc) and the PA and from the Amygdala and the Nucleus accumbens (AC) to the Ventral Tegmental Area (VTA).</w:t>
      </w:r>
      <w:r/>
    </w:p>
    <w:p>
      <w:pPr>
        <w:numPr>
          <w:ilvl w:val="0"/>
          <w:numId w:val="5"/>
        </w:numPr>
        <w:ind w:left="720" w:hanging="360"/>
        <w:jc w:val="both"/>
        <w:spacing w:before="0" w:beforeAutospacing="0" w:after="0" w:afterAutospacing="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Dopaminergic projections from the VTA to the amygdala, AC, prefrontal cortex, and hippocampus, and from the SN to the PU and CA.  </w:t>
      </w:r>
      <w:r/>
    </w:p>
    <w:p>
      <w:pPr>
        <w:numPr>
          <w:ilvl w:val="0"/>
          <w:numId w:val="5"/>
        </w:numPr>
        <w:ind w:left="720" w:hanging="360"/>
        <w:jc w:val="both"/>
        <w:spacing w:before="0" w:beforeAutospacing="0" w:after="240"/>
        <w:rPr>
          <w:color w:val="191919"/>
        </w:rPr>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Glutamatergic projections from the prefrontal cortex to the VTA.</w:t>
      </w:r>
      <w:r>
        <w:rPr>
          <w:rtl w:val="false"/>
        </w:rPr>
      </w:r>
      <w:r/>
    </w:p>
    <w:p>
      <w:pPr>
        <w:jc w:val="both"/>
        <w:spacing w:after="220"/>
        <w:pBdr>
          <w:top w:val="none" w:color="auto" w:sz="0" w:space="0"/>
          <w:left w:val="none" w:color="auto" w:sz="0" w:space="0"/>
          <w:bottom w:val="none" w:color="auto" w:sz="0" w:space="0"/>
          <w:right w:val="none" w:color="auto" w:sz="0" w:space="0"/>
          <w:between w:val="none" w:color="auto" w:sz="0" w:space="0"/>
        </w:pBdr>
      </w:pPr>
      <w:r>
        <w:rPr>
          <w:color w:val="191919"/>
          <w:rtl w:val="false"/>
        </w:rPr>
        <w:t xml:space="preserve">We provide the masks for three types of cortical parcellation and subcortical segmentation: the Desikan-Killiany atlas (70 cortical and 14 subcortical regions), the Schaefer 7 Networks </w:t>
      </w:r>
      <w:r>
        <w:rPr>
          <w:rtl w:val="false"/>
        </w:rPr>
        <w:t xml:space="preserve">atlas (100 cortical and 14 subcortical regions) and the AAL2 atlas (84 cortical and 36 subcortical regions). To these, 4 extra regions were added, namely the Left and Right Substantia nigra and Ventral Tegmental Area.</w:t>
      </w:r>
      <w:r/>
    </w:p>
    <w:p>
      <w:pPr>
        <w:jc w:val="both"/>
      </w:pPr>
      <w:r>
        <w:rPr>
          <w:color w:val="191919"/>
          <w:rtl w:val="false"/>
        </w:rPr>
        <w:t xml:space="preserve">Since with the current imaging resolution it is difficult to get a precise measure of the weights of the dopaminergic nuclei connections, </w:t>
      </w:r>
      <w:r>
        <w:rPr>
          <w:rtl w:val="false"/>
        </w:rPr>
        <w:t xml:space="preserve">two strategies were adopted to adjust the connectome accordingly:</w:t>
      </w:r>
      <w:r/>
    </w:p>
    <w:p>
      <w:pPr>
        <w:numPr>
          <w:ilvl w:val="0"/>
          <w:numId w:val="3"/>
        </w:numPr>
        <w:ind w:left="720" w:hanging="360"/>
        <w:jc w:val="both"/>
        <w:rPr>
          <w:u w:val="none"/>
        </w:rPr>
      </w:pPr>
      <w:r>
        <w:rPr>
          <w:rtl w:val="false"/>
        </w:rPr>
        <w:t xml:space="preserve">For the DK atlas, weights of the connections to and from the SN and the VTA were included according to the values reported by Handfield-Jones et al (11). </w:t>
      </w:r>
      <w:r>
        <w:rPr>
          <w:color w:val="191919"/>
          <w:rtl w:val="false"/>
        </w:rPr>
        <w:t xml:space="preserve">In this study, the authors used high-resolution MRI data from the human connectome project probabilistic tractography to measure SNc and VTA connectivity to the dorsal and ventral striatum and the prefrontal cortex. </w:t>
      </w:r>
      <w:r>
        <w:rPr>
          <w:rtl w:val="false"/>
        </w:rPr>
      </w:r>
      <w:r/>
    </w:p>
    <w:p>
      <w:pPr>
        <w:numPr>
          <w:ilvl w:val="0"/>
          <w:numId w:val="3"/>
        </w:numPr>
        <w:ind w:left="720" w:hanging="360"/>
        <w:jc w:val="both"/>
        <w:rPr>
          <w:u w:val="none"/>
        </w:rPr>
      </w:pPr>
      <w:r>
        <w:rPr>
          <w:rtl w:val="false"/>
        </w:rPr>
        <w:t xml:space="preserve">For the Schaefer atlas and the AAL2, since region labelling does not follow canonical anatomical names, we used the D1 receptor density of each area as a surrogate for the connectivity weight between the specific area and the SN or the VTA.</w:t>
      </w:r>
      <w:r/>
    </w:p>
    <w:p>
      <w:pPr>
        <w:ind w:left="0" w:firstLine="0"/>
        <w:jc w:val="both"/>
      </w:pPr>
      <w:r>
        <mc:AlternateContent>
          <mc:Choice Requires="wpg">
            <w:drawing>
              <wp:inline xmlns:wp="http://schemas.openxmlformats.org/drawingml/2006/wordprocessingDrawing" distT="0" distB="0" distL="0" distR="0">
                <wp:extent cx="5731200" cy="2184400"/>
                <wp:effectExtent l="0" t="0" r="0" b="0"/>
                <wp:docPr id="5" name="image3.png" hidden="0"/>
                <wp:cNvGraphicFramePr/>
                <a:graphic xmlns:a="http://schemas.openxmlformats.org/drawingml/2006/main">
                  <a:graphicData uri="http://schemas.openxmlformats.org/drawingml/2006/picture">
                    <pic:pic xmlns:pic="http://schemas.openxmlformats.org/drawingml/2006/picture">
                      <pic:nvPicPr>
                        <pic:cNvPr id="0" name="image3.png" hidden="0"/>
                        <pic:cNvPicPr/>
                        <pic:nvPr isPhoto="0" userDrawn="0"/>
                      </pic:nvPicPr>
                      <pic:blipFill>
                        <a:blip r:embed="rId13"/>
                        <a:srcRect l="0" t="0" r="0" b="0"/>
                        <a:stretch/>
                      </pic:blipFill>
                      <pic:spPr bwMode="auto">
                        <a:xfrm>
                          <a:off x="0" y="0"/>
                          <a:ext cx="5731200" cy="2184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51.3pt;height:172.0pt;">
                <v:path textboxrect="0,0,0,0"/>
                <v:imagedata r:id="rId13" o:title=""/>
              </v:shape>
            </w:pict>
          </mc:Fallback>
        </mc:AlternateContent>
      </w:r>
      <w:r>
        <w:rPr>
          <w:rtl w:val="false"/>
        </w:rPr>
      </w:r>
      <w:r/>
    </w:p>
    <w:p>
      <w:pPr>
        <w:rPr>
          <w:color w:val="191919"/>
          <w:sz w:val="16"/>
          <w:szCs w:val="16"/>
        </w:rPr>
      </w:pPr>
      <w:r>
        <w:rPr>
          <w:color w:val="191919"/>
          <w:sz w:val="16"/>
          <w:szCs w:val="16"/>
          <w:rtl w:val="false"/>
        </w:rPr>
        <w:t xml:space="preserve">Figure 2. In order, the excitatory, inhibitory and dopaminergic connectivity masks multiplied by the weights of the connectome in the Desikan-Killiany atlas. </w:t>
      </w:r>
      <w:r/>
    </w:p>
    <w:p>
      <w:pPr>
        <w:rPr>
          <w:color w:val="191919"/>
          <w:u w:val="single"/>
        </w:rPr>
      </w:pPr>
      <w:r>
        <w:rPr>
          <w:rtl w:val="false"/>
        </w:rPr>
      </w:r>
      <w:r/>
    </w:p>
    <w:p>
      <w:pPr>
        <w:rPr>
          <w:color w:val="191919"/>
          <w:u w:val="single"/>
        </w:rPr>
      </w:pPr>
      <w:r>
        <w:rPr>
          <w:color w:val="191919"/>
          <w:u w:val="single"/>
          <w:rtl w:val="false"/>
        </w:rPr>
        <w:t xml:space="preserve">D1 receptors</w:t>
      </w:r>
      <w:r/>
    </w:p>
    <w:p>
      <w:r>
        <w:rPr>
          <w:rtl w:val="false"/>
        </w:rPr>
        <w:t xml:space="preserve">The Rd parameters of the nodes receiving dopamine inn</w:t>
      </w:r>
      <w:r>
        <w:rPr>
          <w:rtl w:val="false"/>
        </w:rPr>
        <w:t xml:space="preserve">ervation is given by the normalized value of the number of receptors of the corresponding brain area. This information has been retrieved by realigning and resampling the MRI-PET coregistration of Kaller et al (12) to the parcellations of the two atlases. </w:t>
      </w:r>
      <w:r/>
    </w:p>
    <w:p>
      <w:r>
        <mc:AlternateContent>
          <mc:Choice Requires="wpg">
            <w:drawing>
              <wp:inline xmlns:wp="http://schemas.openxmlformats.org/drawingml/2006/wordprocessingDrawing" distT="0" distB="0" distL="0" distR="0">
                <wp:extent cx="5731200" cy="2171700"/>
                <wp:effectExtent l="0" t="0" r="0" b="0"/>
                <wp:docPr id="6" name="image1.png" hidden="0"/>
                <wp:cNvGraphicFramePr/>
                <a:graphic xmlns:a="http://schemas.openxmlformats.org/drawingml/2006/main">
                  <a:graphicData uri="http://schemas.openxmlformats.org/drawingml/2006/picture">
                    <pic:pic xmlns:pic="http://schemas.openxmlformats.org/drawingml/2006/picture">
                      <pic:nvPicPr>
                        <pic:cNvPr id="0" name="image1.png" hidden="0"/>
                        <pic:cNvPicPr/>
                        <pic:nvPr isPhoto="0" userDrawn="0"/>
                      </pic:nvPicPr>
                      <pic:blipFill>
                        <a:blip r:embed="rId14"/>
                        <a:srcRect l="0" t="0" r="0" b="0"/>
                        <a:stretch/>
                      </pic:blipFill>
                      <pic:spPr bwMode="auto">
                        <a:xfrm>
                          <a:off x="0" y="0"/>
                          <a:ext cx="5731200" cy="2171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1.3pt;height:171.0pt;">
                <v:path textboxrect="0,0,0,0"/>
                <v:imagedata r:id="rId14" o:title=""/>
              </v:shape>
            </w:pict>
          </mc:Fallback>
        </mc:AlternateContent>
      </w:r>
      <w:r>
        <w:rPr>
          <w:rtl w:val="false"/>
        </w:rPr>
      </w:r>
      <w:r/>
    </w:p>
    <w:p>
      <w:pPr>
        <w:rPr>
          <w:color w:val="191919"/>
          <w:sz w:val="16"/>
          <w:szCs w:val="16"/>
        </w:rPr>
      </w:pPr>
      <w:r>
        <w:rPr>
          <w:color w:val="191919"/>
          <w:sz w:val="16"/>
          <w:szCs w:val="16"/>
          <w:rtl w:val="false"/>
        </w:rPr>
        <w:t xml:space="preserve">Figure 3. Dopamine D1R normalized values of the nodes receiving dopaminergic innervation in Desikan-Killiany atlas. </w:t>
      </w:r>
      <w:r/>
    </w:p>
    <w:p>
      <w:pPr>
        <w:rPr>
          <w:color w:val="191919"/>
        </w:rPr>
      </w:pPr>
      <w:r>
        <w:rPr>
          <w:rtl w:val="false"/>
        </w:rPr>
      </w:r>
      <w:r/>
    </w:p>
    <w:p>
      <w:pPr>
        <w:spacing w:line="240" w:lineRule="auto"/>
        <w:rPr>
          <w:color w:val="222222"/>
        </w:rPr>
      </w:pPr>
      <w:r>
        <w:rPr>
          <w:color w:val="222222"/>
          <w:rtl w:val="false"/>
        </w:rPr>
        <w:t xml:space="preserve">REFERENCES</w:t>
      </w:r>
      <w:r/>
    </w:p>
    <w:p>
      <w:pPr>
        <w:numPr>
          <w:ilvl w:val="0"/>
          <w:numId w:val="1"/>
        </w:numPr>
        <w:ind w:left="720" w:right="0" w:hanging="360"/>
        <w:jc w:val="both"/>
        <w:keepLines w:val="0"/>
        <w:keepNext w:val="0"/>
        <w:pageBreakBefore w:val="0"/>
        <w:spacing w:before="0" w:after="0" w:afterAutospacing="0" w:line="240" w:lineRule="auto"/>
        <w:shd w:val="clear" w:color="auto" w:fill="auto"/>
        <w:widowControl/>
        <w:rPr>
          <w:color w:val="0B2318"/>
          <w:highlight w:val="white"/>
        </w:rPr>
        <w:pBdr>
          <w:top w:val="none" w:color="auto" w:sz="0" w:space="0"/>
          <w:left w:val="none" w:color="auto" w:sz="0" w:space="0"/>
          <w:bottom w:val="none" w:color="auto" w:sz="0" w:space="0"/>
          <w:right w:val="none" w:color="auto" w:sz="0" w:space="0"/>
          <w:between w:val="none" w:color="auto" w:sz="0" w:space="0"/>
        </w:pBdr>
      </w:pPr>
      <w:r>
        <w:rPr>
          <w:color w:val="333333"/>
          <w:highlight w:val="white"/>
          <w:rtl w:val="false"/>
        </w:rPr>
        <w:t xml:space="preserve">M</w:t>
      </w:r>
      <w:r>
        <w:rPr>
          <w:color w:val="333333"/>
          <w:highlight w:val="white"/>
          <w:rtl w:val="false"/>
        </w:rPr>
        <w:t xml:space="preserve">armaduke Woodman, Abolfazl Ziaeemehr, vbjax, doi: 10.5281/zenodo.14204249.</w:t>
      </w:r>
      <w:r>
        <w:rPr>
          <w:rtl w:val="false"/>
        </w:rPr>
      </w:r>
      <w:r/>
    </w:p>
    <w:p>
      <w:pPr>
        <w:numPr>
          <w:ilvl w:val="0"/>
          <w:numId w:val="1"/>
        </w:numPr>
        <w:ind w:left="720" w:hanging="360"/>
        <w:jc w:val="both"/>
        <w:spacing w:after="0" w:afterAutospacing="0" w:line="240" w:lineRule="auto"/>
        <w:rPr>
          <w:color w:val="0B2318"/>
          <w:highlight w:val="white"/>
        </w:rPr>
        <w:pBdr>
          <w:top w:val="none" w:color="auto" w:sz="0" w:space="0"/>
          <w:left w:val="none" w:color="auto" w:sz="0" w:space="0"/>
          <w:bottom w:val="none" w:color="auto" w:sz="0" w:space="0"/>
          <w:right w:val="none" w:color="auto" w:sz="0" w:space="0"/>
          <w:between w:val="none" w:color="auto" w:sz="0" w:space="0"/>
        </w:pBdr>
      </w:pPr>
      <w:r>
        <w:rPr>
          <w:color w:val="333333"/>
          <w:highlight w:val="white"/>
          <w:rtl w:val="false"/>
        </w:rPr>
        <w:t xml:space="preserve">Gast R, Solla SA, Kennedy A. Neural heterogeneity controls computations in spiking neural networks. Proc Natl Acad Sci USA. 2024 Jan 16;121(3):e2311885121. doi: 10.1073/pnas.2311885121. Epub 2024 Jan 10. PMID: 38198531; PMCID: PMC10801870.</w:t>
      </w:r>
      <w:r>
        <w:rPr>
          <w:rtl w:val="false"/>
        </w:rPr>
      </w:r>
      <w:r/>
    </w:p>
    <w:p>
      <w:pPr>
        <w:numPr>
          <w:ilvl w:val="0"/>
          <w:numId w:val="1"/>
        </w:numPr>
        <w:ind w:left="720" w:hanging="360"/>
        <w:jc w:val="both"/>
        <w:spacing w:after="0" w:afterAutospacing="0" w:line="240" w:lineRule="auto"/>
        <w:rPr>
          <w:color w:val="0B2318"/>
          <w:highlight w:val="white"/>
        </w:rPr>
        <w:pBdr>
          <w:top w:val="none" w:color="auto" w:sz="0" w:space="0"/>
          <w:left w:val="none" w:color="auto" w:sz="0" w:space="0"/>
          <w:bottom w:val="none" w:color="auto" w:sz="0" w:space="0"/>
          <w:right w:val="none" w:color="auto" w:sz="0" w:space="0"/>
          <w:between w:val="none" w:color="auto" w:sz="0" w:space="0"/>
        </w:pBdr>
      </w:pPr>
      <w:r>
        <w:rPr>
          <w:color w:val="333333"/>
          <w:highlight w:val="white"/>
          <w:rtl w:val="false"/>
        </w:rPr>
        <w:t xml:space="preserve">Depannemaecker D., Duprat D., Angiolelli M., Sales Carbonell C., Wang H., Petkoski S., Sorrentino P., Sheheitli H., Jirsa V. (2024). A neural mass model with neuromodulation</w:t>
      </w:r>
      <w:r>
        <w:rPr>
          <w:color w:val="131313"/>
          <w:highlight w:val="white"/>
          <w:rtl w:val="false"/>
        </w:rPr>
        <w:t xml:space="preserve">. </w:t>
      </w:r>
      <w:r>
        <w:rPr>
          <w:i/>
          <w:color w:val="131313"/>
          <w:highlight w:val="white"/>
          <w:rtl w:val="false"/>
        </w:rPr>
        <w:t xml:space="preserve">bioRxiv</w:t>
      </w:r>
      <w:r>
        <w:rPr>
          <w:color w:val="131313"/>
          <w:highlight w:val="white"/>
          <w:rtl w:val="false"/>
        </w:rPr>
        <w:t xml:space="preserve">,</w:t>
      </w:r>
      <w:r>
        <w:rPr>
          <w:color w:val="333333"/>
          <w:highlight w:val="white"/>
          <w:rtl w:val="false"/>
        </w:rPr>
        <w:t xml:space="preserve"> </w:t>
      </w:r>
      <w:hyperlink r:id="rId15" w:tooltip="https://doi.org/10.1101/2024.06.23.600260" w:history="1">
        <w:r>
          <w:rPr>
            <w:color w:val="1155CC"/>
            <w:highlight w:val="white"/>
            <w:u w:val="single"/>
            <w:rtl w:val="false"/>
          </w:rPr>
          <w:t xml:space="preserve">https://doi.org/10.1101/2024.06.23.600260</w:t>
        </w:r>
      </w:hyperlink>
      <w:r>
        <w:rPr>
          <w:rtl w:val="false"/>
        </w:rPr>
      </w:r>
      <w:r/>
    </w:p>
    <w:p>
      <w:pPr>
        <w:numPr>
          <w:ilvl w:val="0"/>
          <w:numId w:val="1"/>
        </w:numPr>
        <w:ind w:left="720" w:hanging="360"/>
        <w:jc w:val="both"/>
        <w:spacing w:line="240" w:lineRule="auto"/>
        <w:rPr>
          <w:rFonts w:ascii="Roboto" w:hAnsi="Roboto" w:cs="Roboto" w:eastAsia="Roboto"/>
          <w:color w:val="212121"/>
          <w:highlight w:val="white"/>
        </w:rPr>
      </w:pPr>
      <w:r>
        <w:rPr>
          <w:rFonts w:ascii="Roboto" w:hAnsi="Roboto" w:cs="Roboto" w:eastAsia="Roboto"/>
          <w:color w:val="212121"/>
          <w:highlight w:val="white"/>
          <w:rtl w:val="false"/>
        </w:rPr>
        <w:t xml:space="preserve">Surmeier, D. J., Ding, J., Day, M., Wang, Z., &amp; Shen, W. (2007). D1 and D2 dopamine-receptor modulation of striatal glutamatergic signaling in striatal medium spiny neurons. </w:t>
      </w:r>
      <w:r>
        <w:rPr>
          <w:rFonts w:ascii="Roboto" w:hAnsi="Roboto" w:cs="Roboto" w:eastAsia="Roboto"/>
          <w:i/>
          <w:color w:val="212121"/>
          <w:highlight w:val="white"/>
          <w:rtl w:val="false"/>
        </w:rPr>
        <w:t xml:space="preserve">Trends in neurosciences</w:t>
      </w:r>
      <w:r>
        <w:rPr>
          <w:rFonts w:ascii="Roboto" w:hAnsi="Roboto" w:cs="Roboto" w:eastAsia="Roboto"/>
          <w:color w:val="212121"/>
          <w:highlight w:val="white"/>
          <w:rtl w:val="false"/>
        </w:rPr>
        <w:t xml:space="preserve">, </w:t>
      </w:r>
      <w:r>
        <w:rPr>
          <w:rFonts w:ascii="Roboto" w:hAnsi="Roboto" w:cs="Roboto" w:eastAsia="Roboto"/>
          <w:i/>
          <w:color w:val="212121"/>
          <w:highlight w:val="white"/>
          <w:rtl w:val="false"/>
        </w:rPr>
        <w:t xml:space="preserve">30</w:t>
      </w:r>
      <w:r>
        <w:rPr>
          <w:rFonts w:ascii="Roboto" w:hAnsi="Roboto" w:cs="Roboto" w:eastAsia="Roboto"/>
          <w:color w:val="212121"/>
          <w:highlight w:val="white"/>
          <w:rtl w:val="false"/>
        </w:rPr>
        <w:t xml:space="preserve">(5), 228–235. </w:t>
      </w:r>
      <w:hyperlink r:id="rId16" w:tooltip="https://doi.org/10.1016/j.tins.2007.03.008" w:history="1">
        <w:r>
          <w:rPr>
            <w:rFonts w:ascii="Roboto" w:hAnsi="Roboto" w:cs="Roboto" w:eastAsia="Roboto"/>
            <w:color w:val="1155CC"/>
            <w:highlight w:val="white"/>
            <w:u w:val="single"/>
            <w:rtl w:val="false"/>
          </w:rPr>
          <w:t xml:space="preserve">https://doi.org/10.1016/j.tins.2007.03.008</w:t>
        </w:r>
      </w:hyperlink>
      <w:r>
        <w:rPr>
          <w:rtl w:val="false"/>
        </w:rPr>
      </w:r>
      <w:r/>
    </w:p>
    <w:p>
      <w:pPr>
        <w:numPr>
          <w:ilvl w:val="0"/>
          <w:numId w:val="1"/>
        </w:numPr>
        <w:ind w:left="720" w:right="0" w:hanging="360"/>
        <w:jc w:val="both"/>
        <w:keepLines w:val="0"/>
        <w:keepNext w:val="0"/>
        <w:pageBreakBefore w:val="0"/>
        <w:spacing w:before="0" w:after="0" w:line="240" w:lineRule="auto"/>
        <w:shd w:val="clear" w:color="auto" w:fill="auto"/>
        <w:widowControl/>
        <w:rPr>
          <w:color w:val="333333"/>
          <w:highlight w:val="white"/>
        </w:rPr>
        <w:pBdr>
          <w:top w:val="none" w:color="000000" w:sz="0" w:space="0"/>
          <w:left w:val="none" w:color="000000" w:sz="0" w:space="0"/>
          <w:bottom w:val="none" w:color="000000" w:sz="0" w:space="0"/>
          <w:right w:val="none" w:color="000000" w:sz="0" w:space="0"/>
          <w:between w:val="none" w:color="000000" w:sz="0" w:space="0"/>
        </w:pBdr>
      </w:pPr>
      <w:r>
        <w:rPr>
          <w:color w:val="333333"/>
          <w:highlight w:val="white"/>
          <w:rtl w:val="false"/>
        </w:rPr>
        <w:t xml:space="preserve">Zikereya T, Shi K, Chen W. </w:t>
      </w:r>
      <w:r>
        <w:rPr>
          <w:color w:val="333333"/>
          <w:highlight w:val="white"/>
          <w:rtl w:val="false"/>
        </w:rPr>
        <w:t xml:space="preserve">Goal-directed and habitual control: from circuits and functions to exercise-induced neuroplasticity targets for the treatment of Parkinson's disease. Front Neurol. 2023 Oct 10;14:1254447. doi: 10.3389/fneur.2023.1254447. PMID: 37881310; PMCID: PMC10597699.</w:t>
      </w:r>
      <w:r/>
    </w:p>
    <w:p>
      <w:pPr>
        <w:numPr>
          <w:ilvl w:val="0"/>
          <w:numId w:val="1"/>
        </w:numPr>
        <w:ind w:left="720" w:right="0" w:hanging="360"/>
        <w:jc w:val="both"/>
        <w:keepLines w:val="0"/>
        <w:keepNext w:val="0"/>
        <w:pageBreakBefore w:val="0"/>
        <w:spacing w:before="0" w:after="0" w:line="240" w:lineRule="auto"/>
        <w:shd w:val="clear" w:color="auto" w:fill="auto"/>
        <w:widowControl/>
        <w:rPr>
          <w:color w:val="333333"/>
          <w:highlight w:val="white"/>
        </w:rPr>
        <w:pBdr>
          <w:top w:val="none" w:color="000000" w:sz="0" w:space="0"/>
          <w:left w:val="none" w:color="000000" w:sz="0" w:space="0"/>
          <w:bottom w:val="none" w:color="000000" w:sz="0" w:space="0"/>
          <w:right w:val="none" w:color="000000" w:sz="0" w:space="0"/>
          <w:between w:val="none" w:color="000000" w:sz="0" w:space="0"/>
        </w:pBdr>
      </w:pPr>
      <w:r>
        <w:rPr>
          <w:color w:val="333333"/>
          <w:highlight w:val="white"/>
          <w:rtl w:val="false"/>
        </w:rPr>
        <w:t xml:space="preserve">Mallet N, Delgado L, Chazalon M, Miguelez C, Baufreton J. Cellular and Synaptic Dysfunctions in Parkinson's Disease: Stepping out of the Striatum. Cells. 2019 Aug 29;8(9):1005. doi: 10.3390/cells8091005. PMID: 31470672; PMCID: PMC6769933.</w:t>
      </w:r>
      <w:r>
        <w:rPr>
          <w:rtl w:val="false"/>
        </w:rPr>
      </w:r>
      <w:r/>
    </w:p>
    <w:p>
      <w:pPr>
        <w:numPr>
          <w:ilvl w:val="0"/>
          <w:numId w:val="1"/>
        </w:numPr>
        <w:ind w:left="720" w:hanging="360"/>
        <w:jc w:val="both"/>
        <w:spacing w:line="240" w:lineRule="auto"/>
        <w:rPr>
          <w:color w:val="333333"/>
          <w:highlight w:val="white"/>
          <w:u w:val="none"/>
        </w:rPr>
      </w:pPr>
      <w:r>
        <w:rPr>
          <w:color w:val="333333"/>
          <w:highlight w:val="white"/>
          <w:rtl w:val="false"/>
        </w:rPr>
        <w:t xml:space="preserve">Russo SJ, Nestler EJ. The brain reward circuitry in mood disorders. Nat Rev Neurosci. 2013 Sep;14(9):609-25. doi: 10.1038/nrn3381. Epub 2013 Aug 14. Erratum in: Nat Rev Neurosci. 2013 Oct;14(10):736. PMID: 23942470; PMCID: PMC3867253.</w:t>
      </w:r>
      <w:r/>
    </w:p>
    <w:p>
      <w:pPr>
        <w:numPr>
          <w:ilvl w:val="0"/>
          <w:numId w:val="1"/>
        </w:numPr>
        <w:ind w:left="720" w:right="0" w:hanging="360"/>
        <w:jc w:val="both"/>
        <w:keepLines w:val="0"/>
        <w:keepNext w:val="0"/>
        <w:pageBreakBefore w:val="0"/>
        <w:spacing w:before="0" w:after="0" w:line="240" w:lineRule="auto"/>
        <w:shd w:val="clear" w:color="auto" w:fill="auto"/>
        <w:widowControl/>
        <w:rPr>
          <w:color w:val="333333"/>
          <w:highlight w:val="white"/>
        </w:rPr>
        <w:pBdr>
          <w:top w:val="none" w:color="000000" w:sz="0" w:space="0"/>
          <w:left w:val="none" w:color="000000" w:sz="0" w:space="0"/>
          <w:bottom w:val="none" w:color="000000" w:sz="0" w:space="0"/>
          <w:right w:val="none" w:color="000000" w:sz="0" w:space="0"/>
          <w:between w:val="none" w:color="000000" w:sz="0" w:space="0"/>
        </w:pBdr>
      </w:pPr>
      <w:r>
        <w:rPr>
          <w:color w:val="333333"/>
          <w:highlight w:val="white"/>
          <w:rtl w:val="false"/>
        </w:rPr>
        <w:t xml:space="preserve">Zhang WH, Zhang JY, Holmes A, Pan BX. Amygdala Circuit Substrates for Stress Adaptation and Adversity. Biol Psychiatry. 2021 May 1;89(9):847-856. doi: 10.1016/j.biopsych.2020.12.026. Epub 2021 Jan 8. PMID: 33691931.</w:t>
      </w:r>
      <w:r/>
    </w:p>
    <w:p>
      <w:pPr>
        <w:numPr>
          <w:ilvl w:val="0"/>
          <w:numId w:val="1"/>
        </w:numPr>
        <w:ind w:left="720" w:hanging="360"/>
        <w:jc w:val="both"/>
        <w:spacing w:line="240" w:lineRule="auto"/>
        <w:rPr>
          <w:color w:val="333333"/>
          <w:highlight w:val="white"/>
          <w:u w:val="none"/>
        </w:rPr>
      </w:pPr>
      <w:r>
        <w:rPr>
          <w:color w:val="333333"/>
          <w:highlight w:val="white"/>
          <w:rtl w:val="false"/>
        </w:rPr>
        <w:t xml:space="preserve">Sonne J, Reddy V, Beato MR. Neuroanatomy, Substantia Nigra. [Updated 2024 Sep 10]. In: StatPearls [Internet]. Treasure Island (FL): StatPearls Publishing; 2025 Jan-. Available from: </w:t>
      </w:r>
      <w:hyperlink r:id="rId17" w:tooltip="https://www.ncbi.nlm.nih.gov/books/NBK536995/" w:history="1">
        <w:r>
          <w:rPr>
            <w:color w:val="1155CC"/>
            <w:highlight w:val="white"/>
            <w:u w:val="single"/>
            <w:rtl w:val="false"/>
          </w:rPr>
          <w:t xml:space="preserve">https://www.ncbi.nlm.nih.gov/books/NBK536995/</w:t>
        </w:r>
      </w:hyperlink>
      <w:r>
        <w:rPr>
          <w:rtl w:val="false"/>
        </w:rPr>
      </w:r>
      <w:r/>
    </w:p>
    <w:p>
      <w:pPr>
        <w:numPr>
          <w:ilvl w:val="0"/>
          <w:numId w:val="1"/>
        </w:numPr>
        <w:ind w:left="720" w:hanging="360"/>
        <w:jc w:val="both"/>
        <w:spacing w:line="240" w:lineRule="auto"/>
        <w:rPr>
          <w:color w:val="333333"/>
          <w:highlight w:val="white"/>
          <w:u w:val="none"/>
        </w:rPr>
      </w:pPr>
      <w:r>
        <w:rPr>
          <w:color w:val="333333"/>
          <w:highlight w:val="white"/>
          <w:rtl w:val="false"/>
        </w:rPr>
        <w:t xml:space="preserve">Douma EH, de Kloet ER. Stress-induced plasticity and functioning of ventral tegmental dopamine neurons. Neurosci Biobehav Rev. 2020 Jan;108:48-77. doi: 10.1016/j.neubiorev.2019.10.015. Epub 2019 Oct 27. PMID: 31666179.</w:t>
      </w:r>
      <w:r/>
    </w:p>
    <w:p>
      <w:pPr>
        <w:numPr>
          <w:ilvl w:val="0"/>
          <w:numId w:val="1"/>
        </w:numPr>
        <w:ind w:left="720" w:hanging="360"/>
        <w:jc w:val="both"/>
        <w:rPr>
          <w:color w:val="333333"/>
          <w:highlight w:val="white"/>
        </w:rPr>
      </w:pPr>
      <w:r>
        <w:rPr>
          <w:rtl w:val="false"/>
        </w:rPr>
        <w:t xml:space="preserve">Handfield-Jones, Nicholas, "Connectomic Analysis of Substantia Nigra Pars Compacta and Ventral Tegmental Area Projections to the Striatum and Cortex" (2019). Electronic Thesis and Dissertation Repository. 6463. </w:t>
      </w:r>
      <w:hyperlink r:id="rId18" w:tooltip="https://ir.lib.uwo.ca/etd/6463" w:history="1">
        <w:r>
          <w:rPr>
            <w:color w:val="1155CC"/>
            <w:u w:val="single"/>
            <w:rtl w:val="false"/>
          </w:rPr>
          <w:t xml:space="preserve">https://ir.lib.uwo.ca/etd/6463</w:t>
        </w:r>
      </w:hyperlink>
      <w:r>
        <w:rPr>
          <w:rtl w:val="false"/>
        </w:rPr>
        <w:t xml:space="preserve">.</w:t>
      </w:r>
      <w:r>
        <w:rPr>
          <w:rtl w:val="false"/>
        </w:rPr>
      </w:r>
      <w:r/>
    </w:p>
    <w:p>
      <w:pPr>
        <w:numPr>
          <w:ilvl w:val="0"/>
          <w:numId w:val="1"/>
        </w:numPr>
        <w:ind w:left="720" w:hanging="360"/>
        <w:jc w:val="both"/>
        <w:spacing w:line="240" w:lineRule="auto"/>
        <w:rPr>
          <w:color w:val="333333"/>
          <w:highlight w:val="white"/>
          <w:u w:val="none"/>
        </w:rPr>
      </w:pPr>
      <w:r>
        <w:rPr>
          <w:color w:val="333333"/>
          <w:highlight w:val="white"/>
          <w:rtl w:val="false"/>
        </w:rPr>
        <w:t xml:space="preserve">Kaller S, Rullmann M, Patt M, Becker GA, Luthardt J, Girbardt J, Meyer PM, Werner P, Barthel H, Bresch A, Fritz TH, Hesse S, Sabri O. Test-retest measurements of dopamine D</w:t>
      </w:r>
      <w:r>
        <w:rPr>
          <w:color w:val="333333"/>
          <w:highlight w:val="white"/>
          <w:rtl w:val="false"/>
        </w:rPr>
        <w:t xml:space="preserve">1</w:t>
      </w:r>
      <w:r>
        <w:rPr>
          <w:color w:val="333333"/>
          <w:highlight w:val="white"/>
          <w:rtl w:val="false"/>
        </w:rPr>
        <w:t xml:space="preserve">-type receptors using simultaneous PET/MRI imaging. Eur J Nucl Med Mol Imaging. 2017 Jun;44(6):1025-1032. doi: 10.1007/s00259-017-3645-0. Epub 2017 Feb 14. PMID: 28197685.</w:t>
      </w:r>
      <w:r>
        <w:rPr>
          <w:rtl w:val="false"/>
        </w:rPr>
      </w:r>
      <w:r/>
    </w:p>
    <w:sectPr>
      <w:footnotePr/>
      <w:endnotePr/>
      <w:type w:val="nextPage"/>
      <w:pgSz w:w="11909" w:h="16834" w:orient="portrait"/>
      <w:pgMar w:top="1440" w:right="1440" w:bottom="1440" w:left="1440" w:header="720" w:footer="720" w:gutter="0"/>
      <w:pgNumType w:start="1"/>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iacomo Preti" w:date="2025-03-14T18:28:18Z">
    <w:p w14:paraId="00000001" w14:textId="00000001">
      <w:pPr>
        <w:spacing w:line="240" w:after="0" w:lineRule="auto" w:before="0"/>
        <w:ind w:firstLine="0" w:left="0" w:right="0"/>
        <w:jc w:val="left"/>
      </w:pPr>
      <w:r>
        <w:rPr>
          <w:rFonts w:eastAsia="Arial" w:ascii="Arial" w:hAnsi="Arial" w:cs="Arial"/>
          <w:sz w:val="22"/>
        </w:rPr>
        <w:t xml:space="preserve">I added an initial summary, and descriptions under the images</w:t>
      </w:r>
    </w:p>
  </w:comment>
  <w:comment w:id="0" w:author="Huifang Wang" w:date="2025-03-14T14:58:02Z">
    <w:p w14:paraId="00000002" w14:textId="00000002">
      <w:pPr>
        <w:spacing w:line="240" w:after="0" w:lineRule="auto" w:before="0"/>
        <w:ind w:firstLine="0" w:left="0" w:right="0"/>
        <w:jc w:val="left"/>
      </w:pPr>
      <w:r>
        <w:rPr>
          <w:rFonts w:eastAsia="Arial" w:ascii="Arial" w:hAnsi="Arial" w:cs="Arial"/>
          <w:sz w:val="22"/>
        </w:rPr>
        <w:t xml:space="preserve">Dear Giacomo, Please add the summary paragraph here, outlining the key points you will share there.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4172C94"/>
  <w16cid:commentId w16cid:paraId="00000002" w16cid:durableId="69AA57B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B0603030804020204"/>
  </w:font>
  <w:font w:name="lustria">
    <w:panose1 w:val="020B0603030804020204"/>
  </w:font>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3">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sz w:val="22"/>
        <w:szCs w:val="22"/>
        <w:lang w:val="it" w:bidi="ar-SA" w:eastAsia="zh-CN"/>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0">
    <w:name w:val="Heading 1 Char"/>
    <w:link w:val="823"/>
    <w:uiPriority w:val="9"/>
    <w:rPr>
      <w:rFonts w:ascii="Arial" w:hAnsi="Arial" w:cs="Arial" w:eastAsia="Arial"/>
      <w:sz w:val="40"/>
      <w:szCs w:val="40"/>
    </w:rPr>
  </w:style>
  <w:style w:type="character" w:styleId="651">
    <w:name w:val="Heading 2 Char"/>
    <w:link w:val="824"/>
    <w:uiPriority w:val="9"/>
    <w:rPr>
      <w:rFonts w:ascii="Arial" w:hAnsi="Arial" w:cs="Arial" w:eastAsia="Arial"/>
      <w:sz w:val="34"/>
    </w:rPr>
  </w:style>
  <w:style w:type="character" w:styleId="652">
    <w:name w:val="Heading 3 Char"/>
    <w:link w:val="825"/>
    <w:uiPriority w:val="9"/>
    <w:rPr>
      <w:rFonts w:ascii="Arial" w:hAnsi="Arial" w:cs="Arial" w:eastAsia="Arial"/>
      <w:sz w:val="30"/>
      <w:szCs w:val="30"/>
    </w:rPr>
  </w:style>
  <w:style w:type="character" w:styleId="653">
    <w:name w:val="Heading 4 Char"/>
    <w:link w:val="826"/>
    <w:uiPriority w:val="9"/>
    <w:rPr>
      <w:rFonts w:ascii="Arial" w:hAnsi="Arial" w:cs="Arial" w:eastAsia="Arial"/>
      <w:b/>
      <w:bCs/>
      <w:sz w:val="26"/>
      <w:szCs w:val="26"/>
    </w:rPr>
  </w:style>
  <w:style w:type="character" w:styleId="654">
    <w:name w:val="Heading 5 Char"/>
    <w:link w:val="827"/>
    <w:uiPriority w:val="9"/>
    <w:rPr>
      <w:rFonts w:ascii="Arial" w:hAnsi="Arial" w:cs="Arial" w:eastAsia="Arial"/>
      <w:b/>
      <w:bCs/>
      <w:sz w:val="24"/>
      <w:szCs w:val="24"/>
    </w:rPr>
  </w:style>
  <w:style w:type="character" w:styleId="655">
    <w:name w:val="Heading 6 Char"/>
    <w:link w:val="828"/>
    <w:uiPriority w:val="9"/>
    <w:rPr>
      <w:rFonts w:ascii="Arial" w:hAnsi="Arial" w:cs="Arial" w:eastAsia="Arial"/>
      <w:b/>
      <w:bCs/>
      <w:sz w:val="22"/>
      <w:szCs w:val="22"/>
    </w:rPr>
  </w:style>
  <w:style w:type="paragraph" w:styleId="656">
    <w:name w:val="Heading 7"/>
    <w:basedOn w:val="821"/>
    <w:next w:val="821"/>
    <w:link w:val="657"/>
    <w:uiPriority w:val="9"/>
    <w:unhideWhenUsed/>
    <w:qFormat/>
    <w:pPr>
      <w:keepLines/>
      <w:keepNext/>
      <w:spacing w:before="320" w:after="200"/>
      <w:outlineLvl w:val="6"/>
    </w:pPr>
    <w:rPr>
      <w:rFonts w:ascii="Arial" w:hAnsi="Arial" w:cs="Arial" w:eastAsia="Arial"/>
      <w:b/>
      <w:bCs/>
      <w:i/>
      <w:iCs/>
      <w:sz w:val="22"/>
      <w:szCs w:val="22"/>
    </w:rPr>
  </w:style>
  <w:style w:type="character" w:styleId="657">
    <w:name w:val="Heading 7 Char"/>
    <w:link w:val="656"/>
    <w:uiPriority w:val="9"/>
    <w:rPr>
      <w:rFonts w:ascii="Arial" w:hAnsi="Arial" w:cs="Arial" w:eastAsia="Arial"/>
      <w:b/>
      <w:bCs/>
      <w:i/>
      <w:iCs/>
      <w:sz w:val="22"/>
      <w:szCs w:val="22"/>
    </w:rPr>
  </w:style>
  <w:style w:type="paragraph" w:styleId="658">
    <w:name w:val="Heading 8"/>
    <w:basedOn w:val="821"/>
    <w:next w:val="821"/>
    <w:link w:val="659"/>
    <w:uiPriority w:val="9"/>
    <w:unhideWhenUsed/>
    <w:qFormat/>
    <w:pPr>
      <w:keepLines/>
      <w:keepNext/>
      <w:spacing w:before="320" w:after="200"/>
      <w:outlineLvl w:val="7"/>
    </w:pPr>
    <w:rPr>
      <w:rFonts w:ascii="Arial" w:hAnsi="Arial" w:cs="Arial" w:eastAsia="Arial"/>
      <w:i/>
      <w:iCs/>
      <w:sz w:val="22"/>
      <w:szCs w:val="22"/>
    </w:rPr>
  </w:style>
  <w:style w:type="character" w:styleId="659">
    <w:name w:val="Heading 8 Char"/>
    <w:link w:val="658"/>
    <w:uiPriority w:val="9"/>
    <w:rPr>
      <w:rFonts w:ascii="Arial" w:hAnsi="Arial" w:cs="Arial" w:eastAsia="Arial"/>
      <w:i/>
      <w:iCs/>
      <w:sz w:val="22"/>
      <w:szCs w:val="22"/>
    </w:rPr>
  </w:style>
  <w:style w:type="paragraph" w:styleId="660">
    <w:name w:val="Heading 9"/>
    <w:basedOn w:val="821"/>
    <w:next w:val="821"/>
    <w:link w:val="661"/>
    <w:uiPriority w:val="9"/>
    <w:unhideWhenUsed/>
    <w:qFormat/>
    <w:pPr>
      <w:keepLines/>
      <w:keepNext/>
      <w:spacing w:before="320" w:after="200"/>
      <w:outlineLvl w:val="8"/>
    </w:pPr>
    <w:rPr>
      <w:rFonts w:ascii="Arial" w:hAnsi="Arial" w:cs="Arial" w:eastAsia="Arial"/>
      <w:i/>
      <w:iCs/>
      <w:sz w:val="21"/>
      <w:szCs w:val="21"/>
    </w:rPr>
  </w:style>
  <w:style w:type="character" w:styleId="661">
    <w:name w:val="Heading 9 Char"/>
    <w:link w:val="660"/>
    <w:uiPriority w:val="9"/>
    <w:rPr>
      <w:rFonts w:ascii="Arial" w:hAnsi="Arial" w:cs="Arial" w:eastAsia="Arial"/>
      <w:i/>
      <w:iCs/>
      <w:sz w:val="21"/>
      <w:szCs w:val="21"/>
    </w:rPr>
  </w:style>
  <w:style w:type="paragraph" w:styleId="662">
    <w:name w:val="List Paragraph"/>
    <w:basedOn w:val="821"/>
    <w:uiPriority w:val="34"/>
    <w:qFormat/>
    <w:pPr>
      <w:contextualSpacing/>
      <w:ind w:left="720"/>
    </w:pPr>
  </w:style>
  <w:style w:type="table" w:styleId="663">
    <w:name w:val="Normal Table"/>
    <w:uiPriority w:val="99"/>
    <w:semiHidden/>
    <w:unhideWhenUsed/>
    <w:tblPr>
      <w:tblInd w:w="0" w:type="dxa"/>
      <w:tblCellMar>
        <w:left w:w="108" w:type="dxa"/>
        <w:top w:w="0" w:type="dxa"/>
        <w:right w:w="108" w:type="dxa"/>
        <w:bottom w:w="0" w:type="dxa"/>
      </w:tblCellMar>
    </w:tblPr>
  </w:style>
  <w:style w:type="paragraph" w:styleId="664">
    <w:name w:val="No Spacing"/>
    <w:uiPriority w:val="1"/>
    <w:qFormat/>
    <w:pPr>
      <w:spacing w:before="0" w:after="0" w:line="240" w:lineRule="auto"/>
    </w:pPr>
  </w:style>
  <w:style w:type="character" w:styleId="665">
    <w:name w:val="Title Char"/>
    <w:link w:val="829"/>
    <w:uiPriority w:val="10"/>
    <w:rPr>
      <w:sz w:val="48"/>
      <w:szCs w:val="48"/>
    </w:rPr>
  </w:style>
  <w:style w:type="character" w:styleId="666">
    <w:name w:val="Subtitle Char"/>
    <w:link w:val="830"/>
    <w:uiPriority w:val="11"/>
    <w:rPr>
      <w:sz w:val="24"/>
      <w:szCs w:val="24"/>
    </w:rPr>
  </w:style>
  <w:style w:type="paragraph" w:styleId="667">
    <w:name w:val="Quote"/>
    <w:basedOn w:val="821"/>
    <w:next w:val="821"/>
    <w:link w:val="668"/>
    <w:uiPriority w:val="29"/>
    <w:qFormat/>
    <w:pPr>
      <w:ind w:left="720" w:right="720"/>
    </w:pPr>
    <w:rPr>
      <w:i/>
    </w:rPr>
  </w:style>
  <w:style w:type="character" w:styleId="668">
    <w:name w:val="Quote Char"/>
    <w:link w:val="667"/>
    <w:uiPriority w:val="29"/>
    <w:rPr>
      <w:i/>
    </w:rPr>
  </w:style>
  <w:style w:type="paragraph" w:styleId="669">
    <w:name w:val="Intense Quote"/>
    <w:basedOn w:val="821"/>
    <w:next w:val="821"/>
    <w:link w:val="67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0">
    <w:name w:val="Intense Quote Char"/>
    <w:link w:val="669"/>
    <w:uiPriority w:val="30"/>
    <w:rPr>
      <w:i/>
    </w:rPr>
  </w:style>
  <w:style w:type="paragraph" w:styleId="671">
    <w:name w:val="Header"/>
    <w:basedOn w:val="821"/>
    <w:link w:val="672"/>
    <w:uiPriority w:val="99"/>
    <w:unhideWhenUsed/>
    <w:pPr>
      <w:spacing w:after="0" w:line="240" w:lineRule="auto"/>
      <w:tabs>
        <w:tab w:val="center" w:pos="7143" w:leader="none"/>
        <w:tab w:val="right" w:pos="14287" w:leader="none"/>
      </w:tabs>
    </w:pPr>
  </w:style>
  <w:style w:type="character" w:styleId="672">
    <w:name w:val="Header Char"/>
    <w:link w:val="671"/>
    <w:uiPriority w:val="99"/>
  </w:style>
  <w:style w:type="paragraph" w:styleId="673">
    <w:name w:val="Footer"/>
    <w:basedOn w:val="821"/>
    <w:link w:val="676"/>
    <w:uiPriority w:val="99"/>
    <w:unhideWhenUsed/>
    <w:pPr>
      <w:spacing w:after="0" w:line="240" w:lineRule="auto"/>
      <w:tabs>
        <w:tab w:val="center" w:pos="7143" w:leader="none"/>
        <w:tab w:val="right" w:pos="14287" w:leader="none"/>
      </w:tabs>
    </w:pPr>
  </w:style>
  <w:style w:type="character" w:styleId="674">
    <w:name w:val="Footer Char"/>
    <w:link w:val="673"/>
    <w:uiPriority w:val="99"/>
  </w:style>
  <w:style w:type="paragraph" w:styleId="675">
    <w:name w:val="Caption"/>
    <w:basedOn w:val="821"/>
    <w:next w:val="821"/>
    <w:uiPriority w:val="35"/>
    <w:semiHidden/>
    <w:unhideWhenUsed/>
    <w:qFormat/>
    <w:pPr>
      <w:spacing w:line="276" w:lineRule="auto"/>
    </w:pPr>
    <w:rPr>
      <w:b/>
      <w:bCs/>
      <w:color w:val="4F81BD" w:themeColor="accent1"/>
      <w:sz w:val="18"/>
      <w:szCs w:val="18"/>
    </w:rPr>
  </w:style>
  <w:style w:type="character" w:styleId="676">
    <w:name w:val="Caption Char"/>
    <w:basedOn w:val="675"/>
    <w:link w:val="673"/>
    <w:uiPriority w:val="99"/>
  </w:style>
  <w:style w:type="table" w:styleId="677">
    <w:name w:val="Table Grid"/>
    <w:basedOn w:val="66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8">
    <w:name w:val="Table Grid Light"/>
    <w:basedOn w:val="6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9">
    <w:name w:val="Plain Table 1"/>
    <w:basedOn w:val="6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0">
    <w:name w:val="Plain Table 2"/>
    <w:basedOn w:val="6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3"/>
    <w:basedOn w:val="6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2">
    <w:name w:val="Plain Table 4"/>
    <w:basedOn w:val="6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3">
    <w:name w:val="Plain Table 5"/>
    <w:basedOn w:val="6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4">
    <w:name w:val="Grid Table 1 Light"/>
    <w:basedOn w:val="6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5">
    <w:name w:val="Grid Table 1 Light - Accent 1"/>
    <w:basedOn w:val="6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6">
    <w:name w:val="Grid Table 1 Light - Accent 2"/>
    <w:basedOn w:val="6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7">
    <w:name w:val="Grid Table 1 Light - Accent 3"/>
    <w:basedOn w:val="6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8">
    <w:name w:val="Grid Table 1 Light - Accent 4"/>
    <w:basedOn w:val="6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9">
    <w:name w:val="Grid Table 1 Light - Accent 5"/>
    <w:basedOn w:val="6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0">
    <w:name w:val="Grid Table 1 Light - Accent 6"/>
    <w:basedOn w:val="6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1">
    <w:name w:val="Grid Table 2"/>
    <w:basedOn w:val="6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2">
    <w:name w:val="Grid Table 2 - Accent 1"/>
    <w:basedOn w:val="6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3">
    <w:name w:val="Grid Table 2 - Accent 2"/>
    <w:basedOn w:val="6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4">
    <w:name w:val="Grid Table 2 - Accent 3"/>
    <w:basedOn w:val="6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5">
    <w:name w:val="Grid Table 2 - Accent 4"/>
    <w:basedOn w:val="6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6">
    <w:name w:val="Grid Table 2 - Accent 5"/>
    <w:basedOn w:val="6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7">
    <w:name w:val="Grid Table 2 - Accent 6"/>
    <w:basedOn w:val="6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8">
    <w:name w:val="Grid Table 3"/>
    <w:basedOn w:val="6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1"/>
    <w:basedOn w:val="6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2"/>
    <w:basedOn w:val="6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3"/>
    <w:basedOn w:val="6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4"/>
    <w:basedOn w:val="6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5"/>
    <w:basedOn w:val="6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6"/>
    <w:basedOn w:val="6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4"/>
    <w:basedOn w:val="6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6">
    <w:name w:val="Grid Table 4 - Accent 1"/>
    <w:basedOn w:val="6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7">
    <w:name w:val="Grid Table 4 - Accent 2"/>
    <w:basedOn w:val="6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8">
    <w:name w:val="Grid Table 4 - Accent 3"/>
    <w:basedOn w:val="6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9">
    <w:name w:val="Grid Table 4 - Accent 4"/>
    <w:basedOn w:val="6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0">
    <w:name w:val="Grid Table 4 - Accent 5"/>
    <w:basedOn w:val="6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1">
    <w:name w:val="Grid Table 4 - Accent 6"/>
    <w:basedOn w:val="6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2">
    <w:name w:val="Grid Table 5 Dark"/>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3">
    <w:name w:val="Grid Table 5 Dark- Accent 1"/>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14">
    <w:name w:val="Grid Table 5 Dark - Accent 2"/>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15">
    <w:name w:val="Grid Table 5 Dark - Accent 3"/>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16">
    <w:name w:val="Grid Table 5 Dark- Accent 4"/>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17">
    <w:name w:val="Grid Table 5 Dark - Accent 5"/>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18">
    <w:name w:val="Grid Table 5 Dark - Accent 6"/>
    <w:basedOn w:val="6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19">
    <w:name w:val="Grid Table 6 Colorful"/>
    <w:basedOn w:val="6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0">
    <w:name w:val="Grid Table 6 Colorful - Accent 1"/>
    <w:basedOn w:val="6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21">
    <w:name w:val="Grid Table 6 Colorful - Accent 2"/>
    <w:basedOn w:val="6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22">
    <w:name w:val="Grid Table 6 Colorful - Accent 3"/>
    <w:basedOn w:val="6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23">
    <w:name w:val="Grid Table 6 Colorful - Accent 4"/>
    <w:basedOn w:val="6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24">
    <w:name w:val="Grid Table 6 Colorful - Accent 5"/>
    <w:basedOn w:val="6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25">
    <w:name w:val="Grid Table 6 Colorful - Accent 6"/>
    <w:basedOn w:val="6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26">
    <w:name w:val="Grid Table 7 Colorful"/>
    <w:basedOn w:val="6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7">
    <w:name w:val="Grid Table 7 Colorful - Accent 1"/>
    <w:basedOn w:val="6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8">
    <w:name w:val="Grid Table 7 Colorful - Accent 2"/>
    <w:basedOn w:val="6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9">
    <w:name w:val="Grid Table 7 Colorful - Accent 3"/>
    <w:basedOn w:val="6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0">
    <w:name w:val="Grid Table 7 Colorful - Accent 4"/>
    <w:basedOn w:val="6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1">
    <w:name w:val="Grid Table 7 Colorful - Accent 5"/>
    <w:basedOn w:val="6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2">
    <w:name w:val="Grid Table 7 Colorful - Accent 6"/>
    <w:basedOn w:val="6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3">
    <w:name w:val="List Table 1 Light"/>
    <w:basedOn w:val="6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4">
    <w:name w:val="List Table 1 Light - Accent 1"/>
    <w:basedOn w:val="6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5">
    <w:name w:val="List Table 1 Light - Accent 2"/>
    <w:basedOn w:val="6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6">
    <w:name w:val="List Table 1 Light - Accent 3"/>
    <w:basedOn w:val="6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7">
    <w:name w:val="List Table 1 Light - Accent 4"/>
    <w:basedOn w:val="6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8">
    <w:name w:val="List Table 1 Light - Accent 5"/>
    <w:basedOn w:val="6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9">
    <w:name w:val="List Table 1 Light - Accent 6"/>
    <w:basedOn w:val="6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0">
    <w:name w:val="List Table 2"/>
    <w:basedOn w:val="6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1">
    <w:name w:val="List Table 2 - Accent 1"/>
    <w:basedOn w:val="6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2">
    <w:name w:val="List Table 2 - Accent 2"/>
    <w:basedOn w:val="6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3">
    <w:name w:val="List Table 2 - Accent 3"/>
    <w:basedOn w:val="6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4">
    <w:name w:val="List Table 2 - Accent 4"/>
    <w:basedOn w:val="6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5">
    <w:name w:val="List Table 2 - Accent 5"/>
    <w:basedOn w:val="6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6">
    <w:name w:val="List Table 2 - Accent 6"/>
    <w:basedOn w:val="6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7">
    <w:name w:val="List Table 3"/>
    <w:basedOn w:val="6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3 - Accent 1"/>
    <w:basedOn w:val="6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49">
    <w:name w:val="List Table 3 - Accent 2"/>
    <w:basedOn w:val="6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50">
    <w:name w:val="List Table 3 - Accent 3"/>
    <w:basedOn w:val="6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51">
    <w:name w:val="List Table 3 - Accent 4"/>
    <w:basedOn w:val="6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52">
    <w:name w:val="List Table 3 - Accent 5"/>
    <w:basedOn w:val="6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53">
    <w:name w:val="List Table 3 - Accent 6"/>
    <w:basedOn w:val="6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54">
    <w:name w:val="List Table 4"/>
    <w:basedOn w:val="6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5">
    <w:name w:val="List Table 4 - Accent 1"/>
    <w:basedOn w:val="6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56">
    <w:name w:val="List Table 4 - Accent 2"/>
    <w:basedOn w:val="6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57">
    <w:name w:val="List Table 4 - Accent 3"/>
    <w:basedOn w:val="6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58">
    <w:name w:val="List Table 4 - Accent 4"/>
    <w:basedOn w:val="6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59">
    <w:name w:val="List Table 4 - Accent 5"/>
    <w:basedOn w:val="6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60">
    <w:name w:val="List Table 4 - Accent 6"/>
    <w:basedOn w:val="6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61">
    <w:name w:val="List Table 5 Dark"/>
    <w:basedOn w:val="6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1"/>
    <w:basedOn w:val="6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2"/>
    <w:basedOn w:val="6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3"/>
    <w:basedOn w:val="6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4"/>
    <w:basedOn w:val="6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5"/>
    <w:basedOn w:val="6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6"/>
    <w:basedOn w:val="6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6 Colorful"/>
    <w:basedOn w:val="6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9">
    <w:name w:val="List Table 6 Colorful - Accent 1"/>
    <w:basedOn w:val="6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70">
    <w:name w:val="List Table 6 Colorful - Accent 2"/>
    <w:basedOn w:val="6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71">
    <w:name w:val="List Table 6 Colorful - Accent 3"/>
    <w:basedOn w:val="6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72">
    <w:name w:val="List Table 6 Colorful - Accent 4"/>
    <w:basedOn w:val="6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73">
    <w:name w:val="List Table 6 Colorful - Accent 5"/>
    <w:basedOn w:val="6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74">
    <w:name w:val="List Table 6 Colorful - Accent 6"/>
    <w:basedOn w:val="6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75">
    <w:name w:val="List Table 7 Colorful"/>
    <w:basedOn w:val="6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6">
    <w:name w:val="List Table 7 Colorful - Accent 1"/>
    <w:basedOn w:val="6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777">
    <w:name w:val="List Table 7 Colorful - Accent 2"/>
    <w:basedOn w:val="6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778">
    <w:name w:val="List Table 7 Colorful - Accent 3"/>
    <w:basedOn w:val="6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779">
    <w:name w:val="List Table 7 Colorful - Accent 4"/>
    <w:basedOn w:val="6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780">
    <w:name w:val="List Table 7 Colorful - Accent 5"/>
    <w:basedOn w:val="6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781">
    <w:name w:val="List Table 7 Colorful - Accent 6"/>
    <w:basedOn w:val="6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782">
    <w:name w:val="Lined - Accent"/>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Lined - Accent 1"/>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84">
    <w:name w:val="Lined - Accent 2"/>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85">
    <w:name w:val="Lined - Accent 3"/>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786">
    <w:name w:val="Lined - Accent 4"/>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787">
    <w:name w:val="Lined - Accent 5"/>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788">
    <w:name w:val="Lined - Accent 6"/>
    <w:basedOn w:val="6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789">
    <w:name w:val="Bordered &amp; Lined - Accent"/>
    <w:basedOn w:val="6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0">
    <w:name w:val="Bordered &amp; Lined - Accent 1"/>
    <w:basedOn w:val="6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1">
    <w:name w:val="Bordered &amp; Lined - Accent 2"/>
    <w:basedOn w:val="6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2">
    <w:name w:val="Bordered &amp; Lined - Accent 3"/>
    <w:basedOn w:val="6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793">
    <w:name w:val="Bordered &amp; Lined - Accent 4"/>
    <w:basedOn w:val="6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794">
    <w:name w:val="Bordered &amp; Lined - Accent 5"/>
    <w:basedOn w:val="6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795">
    <w:name w:val="Bordered &amp; Lined - Accent 6"/>
    <w:basedOn w:val="6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796">
    <w:name w:val="Bordered"/>
    <w:basedOn w:val="6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7">
    <w:name w:val="Bordered - Accent 1"/>
    <w:basedOn w:val="6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8">
    <w:name w:val="Bordered - Accent 2"/>
    <w:basedOn w:val="6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9">
    <w:name w:val="Bordered - Accent 3"/>
    <w:basedOn w:val="6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0">
    <w:name w:val="Bordered - Accent 4"/>
    <w:basedOn w:val="6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1">
    <w:name w:val="Bordered - Accent 5"/>
    <w:basedOn w:val="6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2">
    <w:name w:val="Bordered - Accent 6"/>
    <w:basedOn w:val="6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3">
    <w:name w:val="Hyperlink"/>
    <w:uiPriority w:val="99"/>
    <w:unhideWhenUsed/>
    <w:rPr>
      <w:color w:val="0000FF" w:themeColor="hyperlink"/>
      <w:u w:val="single"/>
    </w:rPr>
  </w:style>
  <w:style w:type="paragraph" w:styleId="804">
    <w:name w:val="footnote text"/>
    <w:basedOn w:val="821"/>
    <w:link w:val="805"/>
    <w:uiPriority w:val="99"/>
    <w:semiHidden/>
    <w:unhideWhenUsed/>
    <w:pPr>
      <w:spacing w:after="40" w:line="240" w:lineRule="auto"/>
    </w:pPr>
    <w:rPr>
      <w:sz w:val="18"/>
    </w:rPr>
  </w:style>
  <w:style w:type="character" w:styleId="805">
    <w:name w:val="Footnote Text Char"/>
    <w:link w:val="804"/>
    <w:uiPriority w:val="99"/>
    <w:rPr>
      <w:sz w:val="18"/>
    </w:rPr>
  </w:style>
  <w:style w:type="character" w:styleId="806">
    <w:name w:val="footnote reference"/>
    <w:uiPriority w:val="99"/>
    <w:unhideWhenUsed/>
    <w:rPr>
      <w:vertAlign w:val="superscript"/>
    </w:rPr>
  </w:style>
  <w:style w:type="paragraph" w:styleId="807">
    <w:name w:val="endnote text"/>
    <w:basedOn w:val="821"/>
    <w:link w:val="808"/>
    <w:uiPriority w:val="99"/>
    <w:semiHidden/>
    <w:unhideWhenUsed/>
    <w:pPr>
      <w:spacing w:after="0" w:line="240" w:lineRule="auto"/>
    </w:pPr>
    <w:rPr>
      <w:sz w:val="20"/>
    </w:rPr>
  </w:style>
  <w:style w:type="character" w:styleId="808">
    <w:name w:val="Endnote Text Char"/>
    <w:link w:val="807"/>
    <w:uiPriority w:val="99"/>
    <w:rPr>
      <w:sz w:val="20"/>
    </w:rPr>
  </w:style>
  <w:style w:type="character" w:styleId="809">
    <w:name w:val="endnote reference"/>
    <w:uiPriority w:val="99"/>
    <w:semiHidden/>
    <w:unhideWhenUsed/>
    <w:rPr>
      <w:vertAlign w:val="superscript"/>
    </w:rPr>
  </w:style>
  <w:style w:type="paragraph" w:styleId="810">
    <w:name w:val="toc 1"/>
    <w:basedOn w:val="821"/>
    <w:next w:val="821"/>
    <w:uiPriority w:val="39"/>
    <w:unhideWhenUsed/>
    <w:pPr>
      <w:ind w:left="0" w:right="0" w:firstLine="0"/>
      <w:spacing w:after="57"/>
    </w:pPr>
  </w:style>
  <w:style w:type="paragraph" w:styleId="811">
    <w:name w:val="toc 2"/>
    <w:basedOn w:val="821"/>
    <w:next w:val="821"/>
    <w:uiPriority w:val="39"/>
    <w:unhideWhenUsed/>
    <w:pPr>
      <w:ind w:left="283" w:right="0" w:firstLine="0"/>
      <w:spacing w:after="57"/>
    </w:pPr>
  </w:style>
  <w:style w:type="paragraph" w:styleId="812">
    <w:name w:val="toc 3"/>
    <w:basedOn w:val="821"/>
    <w:next w:val="821"/>
    <w:uiPriority w:val="39"/>
    <w:unhideWhenUsed/>
    <w:pPr>
      <w:ind w:left="567" w:right="0" w:firstLine="0"/>
      <w:spacing w:after="57"/>
    </w:pPr>
  </w:style>
  <w:style w:type="paragraph" w:styleId="813">
    <w:name w:val="toc 4"/>
    <w:basedOn w:val="821"/>
    <w:next w:val="821"/>
    <w:uiPriority w:val="39"/>
    <w:unhideWhenUsed/>
    <w:pPr>
      <w:ind w:left="850" w:right="0" w:firstLine="0"/>
      <w:spacing w:after="57"/>
    </w:pPr>
  </w:style>
  <w:style w:type="paragraph" w:styleId="814">
    <w:name w:val="toc 5"/>
    <w:basedOn w:val="821"/>
    <w:next w:val="821"/>
    <w:uiPriority w:val="39"/>
    <w:unhideWhenUsed/>
    <w:pPr>
      <w:ind w:left="1134" w:right="0" w:firstLine="0"/>
      <w:spacing w:after="57"/>
    </w:pPr>
  </w:style>
  <w:style w:type="paragraph" w:styleId="815">
    <w:name w:val="toc 6"/>
    <w:basedOn w:val="821"/>
    <w:next w:val="821"/>
    <w:uiPriority w:val="39"/>
    <w:unhideWhenUsed/>
    <w:pPr>
      <w:ind w:left="1417" w:right="0" w:firstLine="0"/>
      <w:spacing w:after="57"/>
    </w:pPr>
  </w:style>
  <w:style w:type="paragraph" w:styleId="816">
    <w:name w:val="toc 7"/>
    <w:basedOn w:val="821"/>
    <w:next w:val="821"/>
    <w:uiPriority w:val="39"/>
    <w:unhideWhenUsed/>
    <w:pPr>
      <w:ind w:left="1701" w:right="0" w:firstLine="0"/>
      <w:spacing w:after="57"/>
    </w:pPr>
  </w:style>
  <w:style w:type="paragraph" w:styleId="817">
    <w:name w:val="toc 8"/>
    <w:basedOn w:val="821"/>
    <w:next w:val="821"/>
    <w:uiPriority w:val="39"/>
    <w:unhideWhenUsed/>
    <w:pPr>
      <w:ind w:left="1984" w:right="0" w:firstLine="0"/>
      <w:spacing w:after="57"/>
    </w:pPr>
  </w:style>
  <w:style w:type="paragraph" w:styleId="818">
    <w:name w:val="toc 9"/>
    <w:basedOn w:val="821"/>
    <w:next w:val="821"/>
    <w:uiPriority w:val="39"/>
    <w:unhideWhenUsed/>
    <w:pPr>
      <w:ind w:left="2268" w:right="0" w:firstLine="0"/>
      <w:spacing w:after="57"/>
    </w:pPr>
  </w:style>
  <w:style w:type="paragraph" w:styleId="819">
    <w:name w:val="TOC Heading"/>
    <w:uiPriority w:val="39"/>
    <w:unhideWhenUsed/>
  </w:style>
  <w:style w:type="paragraph" w:styleId="820">
    <w:name w:val="table of figures"/>
    <w:basedOn w:val="821"/>
    <w:next w:val="821"/>
    <w:uiPriority w:val="99"/>
    <w:unhideWhenUsed/>
    <w:pPr>
      <w:spacing w:after="0" w:afterAutospacing="0"/>
    </w:pPr>
  </w:style>
  <w:style w:type="paragraph" w:styleId="821" w:default="1">
    <w:name w:val="Normal"/>
  </w:style>
  <w:style w:type="table" w:styleId="822" w:default="1">
    <w:name w:val="Table Normal"/>
    <w:tblPr/>
  </w:style>
  <w:style w:type="paragraph" w:styleId="823">
    <w:name w:val="Heading 1"/>
    <w:basedOn w:val="821"/>
    <w:next w:val="821"/>
    <w:pPr>
      <w:keepLines/>
      <w:keepNext/>
      <w:pageBreakBefore w:val="0"/>
      <w:spacing w:before="400" w:after="120"/>
    </w:pPr>
    <w:rPr>
      <w:sz w:val="40"/>
      <w:szCs w:val="40"/>
    </w:rPr>
  </w:style>
  <w:style w:type="paragraph" w:styleId="824">
    <w:name w:val="Heading 2"/>
    <w:basedOn w:val="821"/>
    <w:next w:val="821"/>
    <w:pPr>
      <w:keepLines/>
      <w:keepNext/>
      <w:pageBreakBefore w:val="0"/>
      <w:spacing w:before="360" w:after="120"/>
    </w:pPr>
    <w:rPr>
      <w:b w:val="0"/>
      <w:sz w:val="32"/>
      <w:szCs w:val="32"/>
    </w:rPr>
  </w:style>
  <w:style w:type="paragraph" w:styleId="825">
    <w:name w:val="Heading 3"/>
    <w:basedOn w:val="821"/>
    <w:next w:val="821"/>
    <w:pPr>
      <w:keepLines/>
      <w:keepNext/>
      <w:pageBreakBefore w:val="0"/>
      <w:spacing w:before="320" w:after="80"/>
    </w:pPr>
    <w:rPr>
      <w:b w:val="0"/>
      <w:color w:val="434343"/>
      <w:sz w:val="28"/>
      <w:szCs w:val="28"/>
    </w:rPr>
  </w:style>
  <w:style w:type="paragraph" w:styleId="826">
    <w:name w:val="Heading 4"/>
    <w:basedOn w:val="821"/>
    <w:next w:val="821"/>
    <w:pPr>
      <w:keepLines/>
      <w:keepNext/>
      <w:pageBreakBefore w:val="0"/>
      <w:spacing w:before="280" w:after="80"/>
    </w:pPr>
    <w:rPr>
      <w:color w:val="666666"/>
      <w:sz w:val="24"/>
      <w:szCs w:val="24"/>
    </w:rPr>
  </w:style>
  <w:style w:type="paragraph" w:styleId="827">
    <w:name w:val="Heading 5"/>
    <w:basedOn w:val="821"/>
    <w:next w:val="821"/>
    <w:pPr>
      <w:keepLines/>
      <w:keepNext/>
      <w:pageBreakBefore w:val="0"/>
      <w:spacing w:before="240" w:after="80"/>
    </w:pPr>
    <w:rPr>
      <w:color w:val="666666"/>
      <w:sz w:val="22"/>
      <w:szCs w:val="22"/>
    </w:rPr>
  </w:style>
  <w:style w:type="paragraph" w:styleId="828">
    <w:name w:val="Heading 6"/>
    <w:basedOn w:val="821"/>
    <w:next w:val="821"/>
    <w:pPr>
      <w:keepLines/>
      <w:keepNext/>
      <w:pageBreakBefore w:val="0"/>
      <w:spacing w:before="240" w:after="80"/>
    </w:pPr>
    <w:rPr>
      <w:i/>
      <w:color w:val="666666"/>
      <w:sz w:val="22"/>
      <w:szCs w:val="22"/>
    </w:rPr>
  </w:style>
  <w:style w:type="paragraph" w:styleId="829">
    <w:name w:val="Title"/>
    <w:basedOn w:val="821"/>
    <w:next w:val="821"/>
    <w:pPr>
      <w:keepLines/>
      <w:keepNext/>
      <w:pageBreakBefore w:val="0"/>
      <w:spacing w:before="0" w:after="60"/>
    </w:pPr>
    <w:rPr>
      <w:sz w:val="52"/>
      <w:szCs w:val="52"/>
    </w:rPr>
  </w:style>
  <w:style w:type="paragraph" w:styleId="830">
    <w:name w:val="Subtitle"/>
    <w:basedOn w:val="821"/>
    <w:next w:val="821"/>
    <w:pPr>
      <w:keepLines/>
      <w:keepNext/>
      <w:pageBreakBefore w:val="0"/>
      <w:spacing w:before="0" w:after="320"/>
    </w:pPr>
    <w:rPr>
      <w:rFonts w:ascii="Arial" w:hAnsi="Arial" w:cs="Arial" w:eastAsia="Arial"/>
      <w:i w:val="0"/>
      <w:color w:val="666666"/>
      <w:sz w:val="30"/>
      <w:szCs w:val="30"/>
    </w:rPr>
  </w:style>
  <w:style w:type="character" w:styleId="831" w:default="1">
    <w:name w:val="Default Paragraph Font"/>
    <w:uiPriority w:val="1"/>
    <w:semiHidden/>
    <w:unhideWhenUsed/>
  </w:style>
  <w:style w:type="numbering" w:styleId="832"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i.org/10.1101/2024.06.23.600260" TargetMode="External"/><Relationship Id="rId16" Type="http://schemas.openxmlformats.org/officeDocument/2006/relationships/hyperlink" Target="https://doi.org/10.1016/j.tins.2007.03.008" TargetMode="External"/><Relationship Id="rId17" Type="http://schemas.openxmlformats.org/officeDocument/2006/relationships/hyperlink" Target="https://www.ncbi.nlm.nih.gov/books/NBK536995/" TargetMode="External"/><Relationship Id="rId18" Type="http://schemas.openxmlformats.org/officeDocument/2006/relationships/hyperlink" Target="https://ir.lib.uwo.ca/etd/6463" TargetMode="External"/><Relationship Id="rId19" Type="http://schemas.openxmlformats.org/officeDocument/2006/relationships/comments" Target="comments.xml" /><Relationship Id="rId20" Type="http://schemas.microsoft.com/office/2011/relationships/commentsExtended" Target="commentsExtended.xml" /><Relationship Id="rId21"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ONLYOFFICE/7.1.1.23</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giacomopreti</cp:lastModifiedBy>
  <cp:revision>1</cp:revision>
  <dcterms:modified xsi:type="dcterms:W3CDTF">2025-05-26T10:01:43Z</dcterms:modified>
</cp:coreProperties>
</file>