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17B11" w14:textId="77777777" w:rsidR="002E4AD9" w:rsidRDefault="00F03860">
      <w:pPr>
        <w:spacing w:after="200" w:line="260" w:lineRule="auto"/>
        <w:jc w:val="center"/>
      </w:pPr>
      <w:r>
        <w:rPr>
          <w:sz w:val="44"/>
          <w:szCs w:val="44"/>
        </w:rPr>
        <w:t xml:space="preserve">ReData as Siting Policy: A Constraint-First Model of Where Brazil’s Data-Center Incentives Bind</w:t>
      </w:r>
    </w:p>
    <w:p w14:paraId="763B0A13" w14:textId="77777777" w:rsidR="002E4AD9" w:rsidRDefault="00F03860">
      <w:pPr>
        <w:jc w:val="center"/>
      </w:pPr>
      <w:r>
        <w:rPr>
          <w:sz w:val="22"/>
          <w:szCs w:val="22"/>
        </w:rPr>
        <w:t>Gia Smith</w:t>
      </w:r>
    </w:p>
    <w:p w14:paraId="51FE5F01" w14:textId="77777777" w:rsidR="002E4AD9" w:rsidRDefault="00F03860">
      <w:pPr>
        <w:jc w:val="center"/>
      </w:pPr>
      <w:r>
        <w:t xml:space="preserve">University of Virginia, Charlottesville, VA, USA</w:t>
      </w:r>
    </w:p>
    <w:p w14:paraId="268F9CFB" w14:textId="13D158DD" w:rsidR="002E4AD9" w:rsidRDefault="00585CAC">
      <w:pPr>
        <w:spacing w:after="240"/>
        <w:jc w:val="center"/>
      </w:pPr>
      <w:r>
        <w:rPr>
          <w:i/>
          <w:iCs/>
          <w:sz w:val="18"/>
          <w:szCs w:val="18"/>
        </w:rPr>
        <w:t>nqj5zk@virginia.edu</w:t>
      </w:r>
    </w:p>
    <w:p w14:paraId="19075E24" w14:textId="77777777" w:rsidR="002E4AD9" w:rsidRDefault="002E4AD9"/>
    <w:p w14:paraId="1A33D9E9" w14:textId="77777777" w:rsidR="00585CAC" w:rsidRDefault="00585CAC" w:rsidP="00585CAC">
      <w:pPr>
        <w:spacing w:after="80"/>
        <w:jc w:val="both"/>
        <w:rPr>
          <w:b/>
          <w:bCs/>
          <w:i/>
          <w:iCs/>
        </w:rPr>
        <w:sectPr w:rsidR="00585CAC" w:rsidSect="00230C58">
          <w:pgSz w:w="12240" w:h="15840"/>
          <w:pgMar w:top="1440" w:right="1440" w:bottom="1440" w:left="1440" w:header="708" w:footer="708" w:gutter="0"/>
          <w:cols w:space="720"/>
          <w:docGrid w:linePitch="360"/>
        </w:sectPr>
      </w:pPr>
    </w:p>
    <w:p w14:paraId="64DD2F43" w14:textId="466B1797" w:rsidR="00585CAC" w:rsidRPr="0097561A" w:rsidRDefault="00585CAC" w:rsidP="00585CAC">
      <w:pPr>
        <w:spacing w:after="80"/>
        <w:jc w:val="both"/>
        <w:rPr>
          <w:sz w:val="21"/>
          <w:szCs w:val="21"/>
        </w:rPr>
      </w:pPr>
      <w:r>
        <w:rPr>
          <w:b/>
          <w:bCs/>
          <w:i/>
          <w:iCs/>
        </w:rPr>
        <w:t>Abstract—</w:t>
      </w:r>
      <w:r>
        <w:rPr>
          <w:sz w:val="21"/>
          <w:szCs w:val="21"/>
        </w:rPr>
        <w:t xml:space="preserve"> </w:t>
      </w:r>
      <w:r>
        <w:rPr>
          <w:b/>
          <w:bCs/>
        </w:rPr>
        <w:t xml:space="preserve">Brazil’s newly enacted Law No. 15,504 establishes the Special Taxation Regime for Data Center Services (ReData) ties federal tax relief to clean power, water efficiency, reserved domestic capacity, and regional decentralization, and it is framed to absorb curtailed renewable generation in the North and Northeast. The international hyperscalers and domestic colocation operators that would use the regime need, in turn, gigawatt-scale interconnection, fiber, and land free of legal conflict. This paper presents a reproducible, constraint-first screening model that joins public grid, curtailment, land-use, surface-water, facility, and policy-corpus data, demonstrated on a case study located on the Ceará coast. Curtailment is concentrated in the Northeast (87% of 63.5 TWh) while 71% of facilities sit in São Paulo and Rio de Janeiro; the binding constraint is transmission, not generation; and within the box, 819 of 2,808 cells survive the hard constraints, 448 form the Pareto frontier, and 25 are recommended, of which 10 require human review, eight because they lie within 2.5 km of a conservation unit or of a Tupinambá indigenous land. Constraint-first screening makes the socioenvironmental tension of ReData-era siting measurable from public data before licensing begins, on a coast where wind-energy expansion has already produced documented conflicts with traditional communities.</w:t>
      </w:r>
    </w:p>
    <w:p w14:paraId="146AFDB4" w14:textId="3C51EAA7" w:rsidR="00585CAC" w:rsidRPr="0097561A" w:rsidRDefault="00585CAC" w:rsidP="00585CAC">
      <w:pPr>
        <w:spacing w:after="120"/>
        <w:jc w:val="both"/>
        <w:rPr>
          <w:sz w:val="21"/>
          <w:szCs w:val="21"/>
        </w:rPr>
      </w:pPr>
      <w:r>
        <w:rPr>
          <w:b/>
          <w:bCs/>
          <w:i/>
          <w:iCs/>
        </w:rPr>
        <w:t>Index Terms—</w:t>
      </w:r>
      <w:r>
        <w:rPr>
          <w:b/>
          <w:bCs/>
        </w:rPr>
        <w:t>Brazil, curtailment, data centers, environmental justice, indigenous lands, Pareto optimization, ReData, site selection, transmission.</w:t>
      </w:r>
    </w:p>
    <w:p w14:paraId="67939D22" w14:textId="77777777" w:rsidR="00585CAC" w:rsidRPr="0097561A" w:rsidRDefault="00585CAC" w:rsidP="00585CAC">
      <w:pPr>
        <w:keepNext/>
        <w:spacing w:before="200" w:after="80"/>
        <w:jc w:val="center"/>
        <w:rPr>
          <w:sz w:val="21"/>
          <w:szCs w:val="21"/>
        </w:rPr>
      </w:pPr>
      <w:r>
        <w:rPr>
          <w:smallCaps/>
          <w:sz w:val="21"/>
          <w:szCs w:val="21"/>
        </w:rPr>
        <w:t>I. Introduction</w:t>
      </w:r>
    </w:p>
    <w:p w14:paraId="59E3E5E4" w14:textId="77777777" w:rsidR="00691260" w:rsidRDefault="00691260" w:rsidP="00585CAC">
      <w:pPr>
        <w:ind w:firstLine="200"/>
        <w:jc w:val="both"/>
      </w:pPr>
      <w:r>
        <w:t>Brazil hosts the largest data-center market in Latin America and the Caribbean, and regional strategy now treats the sector as infrastructure to be attracted rather than merely permitted [1]. Brazil's instrument is ReData, introduced by Provisional Measure 1,318 on September 17, 2025 [2], approved by the Senate as Bill 278/2026 on September 1, 2026 [3], and signed into law as Law 15,504 on September 15, 2026 [4]. The regime suspends federal taxes on data-center equipment in exchange for conditions on clean energy, water efficiency, domestic capacity, and research spending, with lighter obligations in the North, Northeast, and Center-West [3], [4]; the Ministry of Mines and Energy frames it as a way to absorb curtailed renewable generation by siting load near it [5]. ReData is therefore a siting policy as much as a tax instrument, and its incentives point toward the Northeast.</w:t>
      </w:r>
    </w:p>
    <w:p w14:paraId="27CF5065" w14:textId="77777777" w:rsidR="00691260" w:rsidRDefault="00691260" w:rsidP="00585CAC">
      <w:pPr>
        <w:ind w:firstLine="200"/>
        <w:jc w:val="both"/>
      </w:pPr>
    </w:p>
    <w:p w14:paraId="0DAA3D94" w14:textId="16F7499A" w:rsidR="00585CAC" w:rsidRPr="0097561A" w:rsidRDefault="00585CAC" w:rsidP="00585CAC">
      <w:pPr>
        <w:ind w:firstLine="200"/>
        <w:jc w:val="both"/>
        <w:rPr>
          <w:sz w:val="21"/>
          <w:szCs w:val="21"/>
        </w:rPr>
      </w:pPr>
      <w:r>
        <w:rPr>
          <w:sz w:val="21"/>
          <w:szCs w:val="21"/>
        </w:rPr>
        <w:t xml:space="preserve">That geography has a history. About 80% of Brazil’s wind parks are in the Northeast, licensed through processes that render sociocultural impacts invisible and exclude traditional communities from participation [6]. On the Ceará coast, a wind farm built 200 m from the Xavier fishing community privatized commons, buried lakes, blocked roads, and threatened food security [7]; coastal communities have contested the privatization of protected areas and restrictions on their movement [8]; and the expansion has been read as extractive, with little return to local families [9]. The same coast is now described as a digital infrastructure hub pairing green energy with cloud capacity [10], and a planned data center in Caucaia, inside this paper’s case-study box, is already contested on environmental-law grounds [11]. Data center debate elsewhere has centered on energy and water while community impacts go under-examined [12]–[14]. Brazilian scholarship argues for regulatory certainty [15], and an industry-oriented assessment finds ReData’s criteria readily met at the national scale [16]; neither asks where the incentives land on the ground.</w:t>
      </w:r>
    </w:p>
    <w:p w14:paraId="5708FC9A" w14:textId="77777777" w:rsidR="00585CAC" w:rsidRPr="0097561A" w:rsidRDefault="00585CAC" w:rsidP="00585CAC">
      <w:pPr>
        <w:ind w:firstLine="200"/>
        <w:jc w:val="both"/>
        <w:rPr>
          <w:sz w:val="21"/>
          <w:szCs w:val="21"/>
        </w:rPr>
      </w:pPr>
      <w:r>
        <w:rPr>
          <w:sz w:val="21"/>
          <w:szCs w:val="21"/>
        </w:rPr>
        <w:t xml:space="preserve">This paper contributes a reproducible, constraint-first siting model built entirely from public data, and uses it to defend three claims: that ReData functions as siting policy; that the physical and legal constraints concentrate viable sites near contested boundaries; and that this concentration falls on a coast where clean-energy siting has already excluded traditional communities. The model, every input, and an interactive explorer are in the project repository [29].</w:t>
      </w:r>
    </w:p>
    <w:p w14:paraId="0ECF95BC" w14:textId="7A8ADCF4" w:rsidR="00585CAC" w:rsidRPr="0097561A" w:rsidRDefault="00585CAC" w:rsidP="00585CAC">
      <w:pPr>
        <w:keepNext/>
        <w:spacing w:before="200" w:after="80"/>
        <w:jc w:val="center"/>
        <w:rPr>
          <w:sz w:val="21"/>
          <w:szCs w:val="21"/>
        </w:rPr>
      </w:pPr>
      <w:r>
        <w:rPr>
          <w:smallCaps/>
          <w:sz w:val="21"/>
          <w:szCs w:val="21"/>
        </w:rPr>
        <w:lastRenderedPageBreak/>
        <w:t xml:space="preserve">II. My Interpretation of the Current Political Landscape</w:t>
      </w:r>
    </w:p>
    <w:p w14:paraId="5F7846C1" w14:textId="77777777" w:rsidR="00585CAC" w:rsidRDefault="00585CAC" w:rsidP="00585CAC">
      <w:pPr>
        <w:ind w:firstLine="200"/>
        <w:jc w:val="both"/>
        <w:rPr>
          <w:sz w:val="21"/>
          <w:szCs w:val="21"/>
        </w:rPr>
      </w:pPr>
      <w:r>
        <w:rPr>
          <w:sz w:val="21"/>
          <w:szCs w:val="21"/>
        </w:rPr>
        <w:t xml:space="preserve">As approved by the Senate, a beneficiary must buy or self-produce clean or renewable electricity; hold cooling water use at or below 0.05 L/kWh, measured annually; reserve 10% of processing capacity for the Brazilian market (8% in the North, Northeast, and Center-West); invest 2% of equipment value in domestic research (1.6% there); and receives a five-year suspension of federal equipment taxes converting to exemption, at a fiscal cost of R$ 5.2 billion in 2026 [3]. Sustainability indicators remain under consultation [18]. The operators are changing in kind, too. A September 2026 inventory of 110 facilities [29] shows 93 commissioned sites disclosing 729 MW across 82 records, a median of 6 MW, against a pipeline of 17 projects disclosing 5,979 MW, 79% of it </w:t>
      </w:r>
    </w:p>
    <w:p w14:paraId="0C44314D" w14:textId="02B1A9FC" w:rsidR="00655947" w:rsidRPr="00CE7BC5" w:rsidRDefault="00655947" w:rsidP="00CE7BC5">
      <w:pPr>
        <w:tabs>
          <w:tab w:val="left" w:pos="7175"/>
        </w:tabs>
        <w:rPr>
          <w:sz w:val="21"/>
          <w:szCs w:val="21"/>
        </w:rPr>
      </w:pPr>
      <w:r>
        <w:rPr>
          <w:smallCaps/>
          <w:sz w:val="18"/>
          <w:szCs w:val="18"/>
        </w:rPr>
        <w:t xml:space="preserve"> </w:t>
      </w:r>
      <w:r>
        <w:rPr>
          <w:sz w:val="21"/>
          <w:szCs w:val="21"/>
        </w:rPr>
        <w:t xml:space="preserve">one campus (Scala Data Centers’ AI City, Rio Grande do Sul); every hyperscaler row (AWS, Microsoft, Google, Oracle, IBM, Huawei, Tencent, Alibaba) lists capacity as undisclosed, so the disclosed pipeline is carried by domestic and regional operators. The requirement has moved from a 10 MW site near a fiber exchange to a campus of hundreds of megawatts with firm clean power and closed-loop cooling, which is why distance to a high-voltage bus and to a line are hard constraints here.</w:t>
      </w:r>
    </w:p>
    <w:p w14:paraId="2F241085" w14:textId="77777777" w:rsidR="00655947" w:rsidRPr="00E32651" w:rsidRDefault="00655947" w:rsidP="00655947">
      <w:pPr>
        <w:keepNext/>
        <w:spacing w:before="200" w:after="80"/>
        <w:jc w:val="center"/>
        <w:rPr>
          <w:smallCaps/>
          <w:sz w:val="21"/>
          <w:szCs w:val="21"/>
        </w:rPr>
      </w:pPr>
      <w:r>
        <w:rPr>
          <w:smallCaps/>
          <w:sz w:val="21"/>
          <w:szCs w:val="21"/>
        </w:rPr>
        <w:t>III. Data And Method</w:t>
      </w:r>
    </w:p>
    <w:p w14:paraId="1880AB24" w14:textId="79C45F90" w:rsidR="00624956" w:rsidRDefault="005D5108" w:rsidP="000A2FE6">
      <w:pPr>
        <w:tabs>
          <w:tab w:val="left" w:pos="7175"/>
        </w:tabs>
        <w:rPr>
          <w:sz w:val="21"/>
          <w:szCs w:val="21"/>
        </w:rPr>
      </w:pPr>
      <w:r>
        <w:t xml:space="preserve">Table I lists each dataset, where it came from, when it was pulled, and how it is used. The analysis has four phases, and Fig. 1 shows which datasets each phase consumes. </w:t>
      </w:r>
      <w:r>
        <w:rPr>
          <w:sz w:val="21"/>
          <w:szCs w:val="21"/>
        </w:rPr>
        <w:t xml:space="preserve">First, the study area is divided into 2,808 hexagonal cells covering a 50 km × 50 km area around the Pecém industrial port [28]. Cells are removed if they overlap conservation units, Indigenous lands, surface water, or areas outside Ceará. Second, Sentinel-1 and Sentinel-2 satellite imagery is used to estimate the probability that the land in each cell is already degraded. Third, rules from 36 legal and policy documents are translated into spatial screening criteria. These rules determine whether a cell should be excluded, flagged for human review because it lies within 2.5 km of a protected boundary, or assigned a policy-restriction weight of 1, 5, or 100 [34], [35]. Finally, the remaining cells are checked for access to essential infrastructure: a high-voltage substation within 25 km, a transmission line within 15 km, and an internet interconnection facility within 50 km. The cells that pass these requirements are then compared across six objectives to identify locations that perform well without assuming that one criterion is more important than all the others.</w:t>
      </w:r>
    </w:p>
    <w:p w14:paraId="278F6CF2" w14:textId="23447411" w:rsidR="001D1359" w:rsidRDefault="001D1359" w:rsidP="001D1359">
      <w:pPr>
        <w:keepNext/>
        <w:tabs>
          <w:tab w:val="left" w:pos="7175"/>
        </w:tabs>
      </w:pPr>
      <w:r>
        <w:rPr>
          <w:noProof/>
          <w:sz w:val="21"/>
          <w:szCs w:val="21"/>
        </w:rPr>
        <w:drawing>
          <wp:inline distT="0" distB="0" distL="0" distR="0" wp14:anchorId="709E27A6" wp14:editId="5BE58931">
            <wp:extent cx="5943600" cy="1836420"/>
            <wp:effectExtent l="0" t="0" r="0" b="5080"/>
            <wp:docPr id="12880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9513" name="Picture 1288095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36420"/>
                    </a:xfrm>
                    <a:prstGeom prst="rect">
                      <a:avLst/>
                    </a:prstGeom>
                  </pic:spPr>
                </pic:pic>
              </a:graphicData>
            </a:graphic>
          </wp:inline>
        </w:drawing>
      </w:r>
    </w:p>
    <w:p w14:paraId="0A0E6CFD" w14:textId="77777777" w:rsidR="0019720E" w:rsidRPr="0019720E" w:rsidRDefault="0019720E" w:rsidP="0019720E">
      <w:pPr>
        <w:pStyle w:val="Caption"/>
        <w:spacing w:after="0"/>
        <w:rPr>
          <w:i w:val="0"/>
          <w:iCs w:val="0"/>
          <w:color w:val="000000" w:themeColor="text1"/>
          <w:sz w:val="21"/>
          <w:szCs w:val="21"/>
        </w:rPr>
      </w:pPr>
      <w:r>
        <w:rPr>
          <w:i w:val="0"/>
          <w:iCs w:val="0"/>
          <w:smallCaps/>
          <w:color w:val="auto"/>
        </w:rPr>
        <w:t xml:space="preserve">Figure </w:t>
        <w:fldChar w:fldCharType="begin"/>
        <w:instrText xml:space="preserve"> SEQ Figure \* ARABIC </w:instrText>
        <w:fldChar w:fldCharType="separate"/>
        <w:t>1</w:t>
        <w:fldChar w:fldCharType="end"/>
      </w:r>
      <w:r>
        <w:rPr>
          <w:i w:val="0"/>
          <w:iCs w:val="0"/>
          <w:color w:val="000000" w:themeColor="text1"/>
        </w:rPr>
        <w:t>. The four-phase pipeline and the public datasets each phase consumes. Nine datasets (top) feed four sequential phases (middle); each phase's output (bottom) is the next phase's input.</w:t>
      </w:r>
    </w:p>
    <w:p w14:paraId="47B51C60" w14:textId="77777777" w:rsidR="0019720E" w:rsidRDefault="0019720E" w:rsidP="001D1359">
      <w:pPr>
        <w:keepNext/>
        <w:tabs>
          <w:tab w:val="left" w:pos="7175"/>
        </w:tabs>
      </w:pPr>
    </w:p>
    <w:p w14:paraId="6742F267" w14:textId="58E1EE39" w:rsidR="00166D6A" w:rsidRDefault="00E429FE" w:rsidP="00166D6A">
      <w:pPr>
        <w:tabs>
          <w:tab w:val="left" w:pos="7175"/>
        </w:tabs>
        <w:rPr>
          <w:sz w:val="21"/>
          <w:szCs w:val="21"/>
        </w:rPr>
      </w:pPr>
      <w:r>
        <w:rPr>
          <w:sz w:val="21"/>
          <w:szCs w:val="21"/>
        </w:rPr>
        <w:t xml:space="preserve">   This approach builds on Brazilian GIS-based site-selection research. Rediske et al. screen potential photovoltaic sites using protected-area exclusions and weighted criteria [30]; Garbellini et al. evaluate onshore wind locations using 14 exclusion criteria and expert-defined weights [31]; and Chiarani et al. test whether solar-thermal site rankings remain stable under different aggregation methods [32]. Recent international research similarly emphasizes that geospatial planning tools should make policy priorities explicit, use reproducible indicators, and show how results change across competing objectives [36], [37].</w:t>
      </w:r>
    </w:p>
    <w:p w14:paraId="38139E21" w14:textId="77777777" w:rsidR="00166D6A" w:rsidRDefault="00166D6A" w:rsidP="00166D6A">
      <w:pPr>
        <w:tabs>
          <w:tab w:val="left" w:pos="7175"/>
        </w:tabs>
        <w:rPr>
          <w:sz w:val="21"/>
          <w:szCs w:val="21"/>
        </w:rPr>
      </w:pPr>
    </w:p>
    <w:p w14:paraId="6E9316E3" w14:textId="77777777" w:rsidR="00E02F33" w:rsidRDefault="00E02F33" w:rsidP="00166D6A">
      <w:pPr>
        <w:tabs>
          <w:tab w:val="left" w:pos="7175"/>
        </w:tabs>
        <w:jc w:val="center"/>
        <w:rPr>
          <w:smallCaps/>
          <w:sz w:val="18"/>
          <w:szCs w:val="18"/>
        </w:rPr>
      </w:pPr>
    </w:p>
    <w:p w14:paraId="44E41607" w14:textId="77777777" w:rsidR="00E02F33" w:rsidRDefault="00E02F33" w:rsidP="00166D6A">
      <w:pPr>
        <w:tabs>
          <w:tab w:val="left" w:pos="7175"/>
        </w:tabs>
        <w:jc w:val="center"/>
        <w:rPr>
          <w:smallCaps/>
          <w:sz w:val="18"/>
          <w:szCs w:val="18"/>
        </w:rPr>
      </w:pPr>
    </w:p>
    <w:p w14:paraId="5DA1A7DC" w14:textId="77777777" w:rsidR="00E02F33" w:rsidRDefault="00E02F33" w:rsidP="00166D6A">
      <w:pPr>
        <w:tabs>
          <w:tab w:val="left" w:pos="7175"/>
        </w:tabs>
        <w:jc w:val="center"/>
        <w:rPr>
          <w:smallCaps/>
          <w:sz w:val="18"/>
          <w:szCs w:val="18"/>
        </w:rPr>
      </w:pPr>
    </w:p>
    <w:p w14:paraId="41420604" w14:textId="77777777" w:rsidR="00E02F33" w:rsidRDefault="00E02F33" w:rsidP="00166D6A">
      <w:pPr>
        <w:tabs>
          <w:tab w:val="left" w:pos="7175"/>
        </w:tabs>
        <w:jc w:val="center"/>
        <w:rPr>
          <w:smallCaps/>
          <w:sz w:val="18"/>
          <w:szCs w:val="18"/>
        </w:rPr>
      </w:pPr>
    </w:p>
    <w:p w14:paraId="43BAE00B" w14:textId="1DB198DD" w:rsidR="0090483D" w:rsidRPr="0097561A" w:rsidRDefault="0090483D" w:rsidP="00166D6A">
      <w:pPr>
        <w:tabs>
          <w:tab w:val="left" w:pos="7175"/>
        </w:tabs>
        <w:jc w:val="center"/>
        <w:rPr>
          <w:sz w:val="21"/>
          <w:szCs w:val="21"/>
        </w:rPr>
      </w:pPr>
      <w:r>
        <w:rPr>
          <w:smallCaps/>
          <w:sz w:val="18"/>
          <w:szCs w:val="18"/>
        </w:rPr>
        <w:t>TABLE I</w:t>
      </w:r>
    </w:p>
    <w:p w14:paraId="328598CB" w14:textId="77B738E3" w:rsidR="00655947" w:rsidRPr="0090483D" w:rsidRDefault="0090483D" w:rsidP="0090483D">
      <w:pPr>
        <w:keepNext/>
        <w:spacing w:after="60"/>
        <w:jc w:val="center"/>
        <w:rPr>
          <w:sz w:val="21"/>
          <w:szCs w:val="21"/>
        </w:rPr>
      </w:pPr>
      <w:r>
        <w:rPr>
          <w:smallCaps/>
          <w:sz w:val="18"/>
          <w:szCs w:val="18"/>
        </w:rPr>
        <w:lastRenderedPageBreak/>
        <w:t>Datasets with Provider, Date, and Role</w:t>
      </w:r>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1530"/>
        <w:gridCol w:w="2070"/>
        <w:gridCol w:w="2160"/>
        <w:gridCol w:w="900"/>
      </w:tblGrid>
      <w:tr w:rsidR="00655947" w:rsidRPr="0097561A" w14:paraId="412D2C1B" w14:textId="77777777" w:rsidTr="003A0BD5">
        <w:tblPrEx>
          <w:tblCellMar>
            <w:top w:w="0" w:type="dxa"/>
            <w:bottom w:w="0" w:type="dxa"/>
          </w:tblCellMar>
        </w:tblPrEx>
        <w:trPr>
          <w:tblHeader/>
          <w:jc w:val="center"/>
        </w:trPr>
        <w:tc>
          <w:tcPr>
            <w:tcW w:w="2250" w:type="dxa"/>
            <w:tcBorders>
              <w:top w:val="single" w:sz="4" w:space="0" w:color="000000"/>
              <w:left w:val="none" w:sz="0" w:space="0" w:color="FFFFFF"/>
              <w:bottom w:val="single" w:sz="4" w:space="0" w:color="000000"/>
              <w:right w:val="none" w:sz="0" w:space="0" w:color="FFFFFF"/>
            </w:tcBorders>
            <w:tcMar>
              <w:top w:w="20" w:type="dxa"/>
              <w:left w:w="40" w:type="dxa"/>
              <w:bottom w:w="20" w:type="dxa"/>
              <w:right w:w="40" w:type="dxa"/>
            </w:tcMar>
          </w:tcPr>
          <w:p w14:paraId="4A43854D" w14:textId="77777777" w:rsidR="00655947" w:rsidRPr="0097561A" w:rsidRDefault="00655947" w:rsidP="003A0BD5">
            <w:pPr>
              <w:spacing w:line="200" w:lineRule="auto"/>
              <w:jc w:val="center"/>
              <w:rPr>
                <w:sz w:val="21"/>
                <w:szCs w:val="21"/>
              </w:rPr>
            </w:pPr>
            <w:r>
              <w:rPr>
                <w:b/>
                <w:bCs/>
                <w:sz w:val="16"/>
                <w:szCs w:val="16"/>
              </w:rPr>
              <w:t>Dataset and contents</w:t>
            </w:r>
          </w:p>
        </w:tc>
        <w:tc>
          <w:tcPr>
            <w:tcW w:w="1530" w:type="dxa"/>
            <w:tcBorders>
              <w:top w:val="single" w:sz="4" w:space="0" w:color="000000"/>
              <w:left w:val="none" w:sz="0" w:space="0" w:color="FFFFFF"/>
              <w:bottom w:val="single" w:sz="4" w:space="0" w:color="000000"/>
              <w:right w:val="none" w:sz="0" w:space="0" w:color="FFFFFF"/>
            </w:tcBorders>
            <w:tcMar>
              <w:top w:w="20" w:type="dxa"/>
              <w:left w:w="40" w:type="dxa"/>
              <w:bottom w:w="20" w:type="dxa"/>
              <w:right w:w="40" w:type="dxa"/>
            </w:tcMar>
          </w:tcPr>
          <w:p w14:paraId="1B5DC7D9" w14:textId="77777777" w:rsidR="00655947" w:rsidRPr="0097561A" w:rsidRDefault="00655947" w:rsidP="003A0BD5">
            <w:pPr>
              <w:spacing w:line="200" w:lineRule="auto"/>
              <w:jc w:val="center"/>
              <w:rPr>
                <w:sz w:val="21"/>
                <w:szCs w:val="21"/>
              </w:rPr>
            </w:pPr>
            <w:r>
              <w:rPr>
                <w:b/>
                <w:bCs/>
                <w:sz w:val="16"/>
                <w:szCs w:val="16"/>
              </w:rPr>
              <w:t>Provider</w:t>
            </w:r>
          </w:p>
        </w:tc>
        <w:tc>
          <w:tcPr>
            <w:tcW w:w="2070" w:type="dxa"/>
            <w:tcBorders>
              <w:top w:val="single" w:sz="4" w:space="0" w:color="000000"/>
              <w:left w:val="none" w:sz="0" w:space="0" w:color="FFFFFF"/>
              <w:bottom w:val="single" w:sz="4" w:space="0" w:color="000000"/>
              <w:right w:val="none" w:sz="0" w:space="0" w:color="FFFFFF"/>
            </w:tcBorders>
            <w:tcMar>
              <w:top w:w="20" w:type="dxa"/>
              <w:left w:w="40" w:type="dxa"/>
              <w:bottom w:w="20" w:type="dxa"/>
              <w:right w:w="40" w:type="dxa"/>
            </w:tcMar>
          </w:tcPr>
          <w:p w14:paraId="77C88062" w14:textId="77777777" w:rsidR="00655947" w:rsidRPr="0097561A" w:rsidRDefault="00655947" w:rsidP="003A0BD5">
            <w:pPr>
              <w:spacing w:line="200" w:lineRule="auto"/>
              <w:jc w:val="center"/>
              <w:rPr>
                <w:sz w:val="21"/>
                <w:szCs w:val="21"/>
              </w:rPr>
            </w:pPr>
            <w:r>
              <w:rPr>
                <w:b/>
                <w:bCs/>
                <w:sz w:val="16"/>
                <w:szCs w:val="16"/>
              </w:rPr>
              <w:t>Snapshot / pull date</w:t>
            </w:r>
          </w:p>
        </w:tc>
        <w:tc>
          <w:tcPr>
            <w:tcW w:w="2160" w:type="dxa"/>
            <w:tcBorders>
              <w:top w:val="single" w:sz="4" w:space="0" w:color="000000"/>
              <w:left w:val="none" w:sz="0" w:space="0" w:color="FFFFFF"/>
              <w:bottom w:val="single" w:sz="4" w:space="0" w:color="000000"/>
              <w:right w:val="none" w:sz="0" w:space="0" w:color="FFFFFF"/>
            </w:tcBorders>
            <w:tcMar>
              <w:top w:w="20" w:type="dxa"/>
              <w:left w:w="40" w:type="dxa"/>
              <w:bottom w:w="20" w:type="dxa"/>
              <w:right w:w="40" w:type="dxa"/>
            </w:tcMar>
          </w:tcPr>
          <w:p w14:paraId="61F2246A" w14:textId="77777777" w:rsidR="00655947" w:rsidRPr="0097561A" w:rsidRDefault="00655947" w:rsidP="003A0BD5">
            <w:pPr>
              <w:spacing w:line="200" w:lineRule="auto"/>
              <w:jc w:val="center"/>
              <w:rPr>
                <w:sz w:val="21"/>
                <w:szCs w:val="21"/>
              </w:rPr>
            </w:pPr>
            <w:r>
              <w:rPr>
                <w:b/>
                <w:bCs/>
                <w:sz w:val="16"/>
                <w:szCs w:val="16"/>
              </w:rPr>
              <w:t>Role in the model</w:t>
            </w:r>
          </w:p>
        </w:tc>
        <w:tc>
          <w:tcPr>
            <w:tcW w:w="900" w:type="dxa"/>
            <w:tcBorders>
              <w:top w:val="single" w:sz="4" w:space="0" w:color="000000"/>
              <w:left w:val="none" w:sz="0" w:space="0" w:color="FFFFFF"/>
              <w:bottom w:val="single" w:sz="4" w:space="0" w:color="000000"/>
              <w:right w:val="none" w:sz="0" w:space="0" w:color="FFFFFF"/>
            </w:tcBorders>
            <w:tcMar>
              <w:top w:w="20" w:type="dxa"/>
              <w:left w:w="40" w:type="dxa"/>
              <w:bottom w:w="20" w:type="dxa"/>
              <w:right w:w="40" w:type="dxa"/>
            </w:tcMar>
          </w:tcPr>
          <w:p w14:paraId="216BD73E" w14:textId="77777777" w:rsidR="00655947" w:rsidRPr="0097561A" w:rsidRDefault="00655947" w:rsidP="003A0BD5">
            <w:pPr>
              <w:spacing w:line="200" w:lineRule="auto"/>
              <w:jc w:val="center"/>
              <w:rPr>
                <w:sz w:val="21"/>
                <w:szCs w:val="21"/>
              </w:rPr>
            </w:pPr>
            <w:r>
              <w:rPr>
                <w:b/>
                <w:bCs/>
                <w:sz w:val="16"/>
                <w:szCs w:val="16"/>
              </w:rPr>
              <w:t>Ref.</w:t>
            </w:r>
          </w:p>
        </w:tc>
      </w:tr>
      <w:tr w:rsidR="00655947" w:rsidRPr="0097561A" w14:paraId="61F779CC" w14:textId="77777777" w:rsidTr="003A0BD5">
        <w:tblPrEx>
          <w:tblCellMar>
            <w:top w:w="0" w:type="dxa"/>
            <w:bottom w:w="0" w:type="dxa"/>
          </w:tblCellMar>
        </w:tblPrEx>
        <w:trPr>
          <w:jc w:val="center"/>
        </w:trPr>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D01E5B1" w14:textId="77777777" w:rsidR="00655947" w:rsidRDefault="00655947" w:rsidP="003A0BD5">
            <w:pPr>
              <w:spacing w:line="200" w:lineRule="auto"/>
              <w:rPr>
                <w:sz w:val="16"/>
                <w:szCs w:val="16"/>
              </w:rPr>
            </w:pPr>
            <w:r>
              <w:rPr>
                <w:sz w:val="16"/>
                <w:szCs w:val="16"/>
              </w:rPr>
              <w:t>Boundaries: 27 states, 5,573 municipalities, 3,001 conservation units, 637 indigenous lands</w:t>
            </w:r>
          </w:p>
          <w:p w14:paraId="4CD5A7FE" w14:textId="77777777" w:rsidR="00655947" w:rsidRPr="00585CAC" w:rsidRDefault="00655947" w:rsidP="003A0BD5">
            <w:pPr>
              <w:spacing w:line="200" w:lineRule="auto"/>
              <w:rPr>
                <w:sz w:val="6"/>
                <w:szCs w:val="6"/>
              </w:rPr>
            </w:pPr>
          </w:p>
        </w:tc>
        <w:tc>
          <w:tcPr>
            <w:tcW w:w="15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3B9A9C4E" w14:textId="77777777" w:rsidR="00655947" w:rsidRPr="0097561A" w:rsidRDefault="00655947" w:rsidP="003A0BD5">
            <w:pPr>
              <w:spacing w:line="200" w:lineRule="auto"/>
              <w:jc w:val="center"/>
              <w:rPr>
                <w:sz w:val="21"/>
                <w:szCs w:val="21"/>
              </w:rPr>
            </w:pPr>
            <w:r>
              <w:rPr>
                <w:sz w:val="16"/>
                <w:szCs w:val="16"/>
              </w:rPr>
              <w:t>IBGE, MMA, FUNAI via geobr v2.0.0</w:t>
            </w:r>
          </w:p>
        </w:tc>
        <w:tc>
          <w:tcPr>
            <w:tcW w:w="20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356B3ECB" w14:textId="77777777" w:rsidR="00655947" w:rsidRPr="0097561A" w:rsidRDefault="00655947" w:rsidP="003A0BD5">
            <w:pPr>
              <w:spacing w:line="200" w:lineRule="auto"/>
              <w:jc w:val="center"/>
              <w:rPr>
                <w:sz w:val="21"/>
                <w:szCs w:val="21"/>
              </w:rPr>
            </w:pPr>
            <w:r>
              <w:rPr>
                <w:sz w:val="16"/>
                <w:szCs w:val="16"/>
              </w:rPr>
              <w:t>2025 releases; pulled May 21, 2026</w:t>
            </w:r>
          </w:p>
        </w:tc>
        <w:tc>
          <w:tcPr>
            <w:tcW w:w="21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E54BF25" w14:textId="77777777" w:rsidR="00655947" w:rsidRPr="0097561A" w:rsidRDefault="00655947" w:rsidP="003A0BD5">
            <w:pPr>
              <w:spacing w:line="200" w:lineRule="auto"/>
              <w:rPr>
                <w:sz w:val="21"/>
                <w:szCs w:val="21"/>
              </w:rPr>
            </w:pPr>
            <w:r>
              <w:rPr>
                <w:sz w:val="16"/>
                <w:szCs w:val="16"/>
              </w:rPr>
              <w:t>Phase 1 hard exclusions; 2.5 km review buffer</w:t>
            </w:r>
          </w:p>
        </w:tc>
        <w:tc>
          <w:tcPr>
            <w:tcW w:w="9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435E0A2" w14:textId="77777777" w:rsidR="00655947" w:rsidRPr="0097561A" w:rsidRDefault="00655947" w:rsidP="003A0BD5">
            <w:pPr>
              <w:spacing w:line="200" w:lineRule="auto"/>
              <w:jc w:val="center"/>
              <w:rPr>
                <w:sz w:val="21"/>
                <w:szCs w:val="21"/>
              </w:rPr>
            </w:pPr>
            <w:r>
              <w:rPr>
                <w:sz w:val="16"/>
                <w:szCs w:val="16"/>
              </w:rPr>
              <w:t>[19]</w:t>
            </w:r>
          </w:p>
        </w:tc>
      </w:tr>
      <w:tr w:rsidR="00655947" w:rsidRPr="0097561A" w14:paraId="02730D5F" w14:textId="77777777" w:rsidTr="003A0BD5">
        <w:tblPrEx>
          <w:tblCellMar>
            <w:top w:w="0" w:type="dxa"/>
            <w:bottom w:w="0" w:type="dxa"/>
          </w:tblCellMar>
        </w:tblPrEx>
        <w:trPr>
          <w:jc w:val="center"/>
        </w:trPr>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E0863DE" w14:textId="77777777" w:rsidR="00655947" w:rsidRDefault="00655947" w:rsidP="003A0BD5">
            <w:pPr>
              <w:spacing w:line="200" w:lineRule="auto"/>
              <w:rPr>
                <w:sz w:val="16"/>
                <w:szCs w:val="16"/>
              </w:rPr>
            </w:pPr>
            <w:r>
              <w:rPr>
                <w:sz w:val="16"/>
                <w:szCs w:val="16"/>
              </w:rPr>
              <w:t>Grid topology and generation: 1,705 buses, 1,838 branches, 4,626 units, 198,138 MW</w:t>
            </w:r>
          </w:p>
          <w:p w14:paraId="52EC36E8" w14:textId="77777777" w:rsidR="00655947" w:rsidRPr="00585CAC" w:rsidRDefault="00655947" w:rsidP="003A0BD5">
            <w:pPr>
              <w:spacing w:line="200" w:lineRule="auto"/>
              <w:rPr>
                <w:sz w:val="6"/>
                <w:szCs w:val="6"/>
              </w:rPr>
            </w:pPr>
          </w:p>
        </w:tc>
        <w:tc>
          <w:tcPr>
            <w:tcW w:w="15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B03347A" w14:textId="77777777" w:rsidR="00655947" w:rsidRPr="0097561A" w:rsidRDefault="00655947" w:rsidP="003A0BD5">
            <w:pPr>
              <w:spacing w:line="200" w:lineRule="auto"/>
              <w:jc w:val="center"/>
              <w:rPr>
                <w:sz w:val="21"/>
                <w:szCs w:val="21"/>
              </w:rPr>
            </w:pPr>
            <w:r>
              <w:rPr>
                <w:sz w:val="16"/>
                <w:szCs w:val="16"/>
              </w:rPr>
              <w:t>ONS Dados Abertos</w:t>
            </w:r>
          </w:p>
        </w:tc>
        <w:tc>
          <w:tcPr>
            <w:tcW w:w="20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55011020" w14:textId="77777777" w:rsidR="00655947" w:rsidRPr="0097561A" w:rsidRDefault="00655947" w:rsidP="003A0BD5">
            <w:pPr>
              <w:spacing w:line="200" w:lineRule="auto"/>
              <w:jc w:val="center"/>
              <w:rPr>
                <w:sz w:val="21"/>
                <w:szCs w:val="21"/>
              </w:rPr>
            </w:pPr>
            <w:r>
              <w:rPr>
                <w:sz w:val="16"/>
                <w:szCs w:val="16"/>
              </w:rPr>
              <w:t>Pulled May 21, 2026</w:t>
            </w:r>
          </w:p>
        </w:tc>
        <w:tc>
          <w:tcPr>
            <w:tcW w:w="21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4D4735E" w14:textId="77777777" w:rsidR="00655947" w:rsidRPr="0097561A" w:rsidRDefault="00655947" w:rsidP="003A0BD5">
            <w:pPr>
              <w:spacing w:line="200" w:lineRule="auto"/>
              <w:rPr>
                <w:sz w:val="21"/>
                <w:szCs w:val="21"/>
              </w:rPr>
            </w:pPr>
            <w:r>
              <w:rPr>
                <w:sz w:val="16"/>
                <w:szCs w:val="16"/>
              </w:rPr>
              <w:t>Distance-to-bus and distance-to-line constraints; headroom</w:t>
            </w:r>
          </w:p>
        </w:tc>
        <w:tc>
          <w:tcPr>
            <w:tcW w:w="9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055AAB87" w14:textId="77777777" w:rsidR="00655947" w:rsidRPr="0097561A" w:rsidRDefault="00655947" w:rsidP="003A0BD5">
            <w:pPr>
              <w:spacing w:line="200" w:lineRule="auto"/>
              <w:jc w:val="center"/>
              <w:rPr>
                <w:sz w:val="21"/>
                <w:szCs w:val="21"/>
              </w:rPr>
            </w:pPr>
            <w:r>
              <w:rPr>
                <w:sz w:val="16"/>
                <w:szCs w:val="16"/>
              </w:rPr>
              <w:t>[20]</w:t>
            </w:r>
          </w:p>
        </w:tc>
      </w:tr>
      <w:tr w:rsidR="00655947" w:rsidRPr="0097561A" w14:paraId="7ACF40C0" w14:textId="77777777" w:rsidTr="003A0BD5">
        <w:tblPrEx>
          <w:tblCellMar>
            <w:top w:w="0" w:type="dxa"/>
            <w:bottom w:w="0" w:type="dxa"/>
          </w:tblCellMar>
        </w:tblPrEx>
        <w:trPr>
          <w:jc w:val="center"/>
        </w:trPr>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2D4B940" w14:textId="77777777" w:rsidR="00655947" w:rsidRDefault="00655947" w:rsidP="003A0BD5">
            <w:pPr>
              <w:spacing w:line="200" w:lineRule="auto"/>
              <w:rPr>
                <w:sz w:val="16"/>
                <w:szCs w:val="16"/>
              </w:rPr>
            </w:pPr>
            <w:r>
              <w:rPr>
                <w:sz w:val="16"/>
                <w:szCs w:val="16"/>
              </w:rPr>
              <w:t>Wind and solar curtailment (constrained-off) records: 82 monthly files; 91.99 M half-hourly rows</w:t>
            </w:r>
          </w:p>
          <w:p w14:paraId="05D38786" w14:textId="77777777" w:rsidR="00655947" w:rsidRPr="00585CAC" w:rsidRDefault="00655947" w:rsidP="003A0BD5">
            <w:pPr>
              <w:spacing w:line="200" w:lineRule="auto"/>
              <w:rPr>
                <w:sz w:val="6"/>
                <w:szCs w:val="6"/>
              </w:rPr>
            </w:pPr>
          </w:p>
        </w:tc>
        <w:tc>
          <w:tcPr>
            <w:tcW w:w="15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F02DDCC" w14:textId="77777777" w:rsidR="00655947" w:rsidRPr="0097561A" w:rsidRDefault="00655947" w:rsidP="003A0BD5">
            <w:pPr>
              <w:spacing w:line="200" w:lineRule="auto"/>
              <w:jc w:val="center"/>
              <w:rPr>
                <w:sz w:val="21"/>
                <w:szCs w:val="21"/>
              </w:rPr>
            </w:pPr>
            <w:r>
              <w:rPr>
                <w:sz w:val="16"/>
                <w:szCs w:val="16"/>
              </w:rPr>
              <w:t>ONS Dados Abertos</w:t>
            </w:r>
          </w:p>
        </w:tc>
        <w:tc>
          <w:tcPr>
            <w:tcW w:w="20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C03A4D7" w14:textId="77777777" w:rsidR="00655947" w:rsidRPr="0097561A" w:rsidRDefault="00655947" w:rsidP="003A0BD5">
            <w:pPr>
              <w:spacing w:line="200" w:lineRule="auto"/>
              <w:jc w:val="center"/>
              <w:rPr>
                <w:sz w:val="21"/>
                <w:szCs w:val="21"/>
              </w:rPr>
            </w:pPr>
            <w:r>
              <w:rPr>
                <w:sz w:val="16"/>
                <w:szCs w:val="16"/>
              </w:rPr>
              <w:t>Oct. 2021–May 2026; pulled May 25, 2026</w:t>
            </w:r>
          </w:p>
        </w:tc>
        <w:tc>
          <w:tcPr>
            <w:tcW w:w="21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2D79BC1" w14:textId="77777777" w:rsidR="00655947" w:rsidRPr="0097561A" w:rsidRDefault="00655947" w:rsidP="003A0BD5">
            <w:pPr>
              <w:spacing w:line="200" w:lineRule="auto"/>
              <w:rPr>
                <w:sz w:val="21"/>
                <w:szCs w:val="21"/>
              </w:rPr>
            </w:pPr>
            <w:r>
              <w:rPr>
                <w:sz w:val="16"/>
                <w:szCs w:val="16"/>
              </w:rPr>
              <w:t>Curtailment-opportunity objective; state screen</w:t>
            </w:r>
          </w:p>
        </w:tc>
        <w:tc>
          <w:tcPr>
            <w:tcW w:w="9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47F182C" w14:textId="77777777" w:rsidR="00655947" w:rsidRPr="0097561A" w:rsidRDefault="00655947" w:rsidP="003A0BD5">
            <w:pPr>
              <w:spacing w:line="200" w:lineRule="auto"/>
              <w:jc w:val="center"/>
              <w:rPr>
                <w:sz w:val="21"/>
                <w:szCs w:val="21"/>
              </w:rPr>
            </w:pPr>
            <w:r>
              <w:rPr>
                <w:sz w:val="16"/>
                <w:szCs w:val="16"/>
              </w:rPr>
              <w:t>[21]</w:t>
            </w:r>
          </w:p>
        </w:tc>
      </w:tr>
      <w:tr w:rsidR="00655947" w:rsidRPr="0097561A" w14:paraId="4EB4428D" w14:textId="77777777" w:rsidTr="003A0BD5">
        <w:tblPrEx>
          <w:tblCellMar>
            <w:top w:w="0" w:type="dxa"/>
            <w:bottom w:w="0" w:type="dxa"/>
          </w:tblCellMar>
        </w:tblPrEx>
        <w:trPr>
          <w:jc w:val="center"/>
        </w:trPr>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BF3EDBF" w14:textId="77777777" w:rsidR="00655947" w:rsidRDefault="00655947" w:rsidP="003A0BD5">
            <w:pPr>
              <w:spacing w:line="200" w:lineRule="auto"/>
              <w:rPr>
                <w:sz w:val="16"/>
                <w:szCs w:val="16"/>
              </w:rPr>
            </w:pPr>
            <w:r>
              <w:rPr>
                <w:sz w:val="16"/>
                <w:szCs w:val="16"/>
              </w:rPr>
              <w:t>Energy asset inventory: 22,323 project rows, 19 technology sheets (filtered to Brazil)</w:t>
            </w:r>
          </w:p>
          <w:p w14:paraId="57F4BD15" w14:textId="77777777" w:rsidR="00655947" w:rsidRPr="00585CAC" w:rsidRDefault="00655947" w:rsidP="003A0BD5">
            <w:pPr>
              <w:spacing w:line="200" w:lineRule="auto"/>
              <w:rPr>
                <w:sz w:val="6"/>
                <w:szCs w:val="6"/>
              </w:rPr>
            </w:pPr>
          </w:p>
        </w:tc>
        <w:tc>
          <w:tcPr>
            <w:tcW w:w="15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306C2D7" w14:textId="77777777" w:rsidR="00655947" w:rsidRPr="0097561A" w:rsidRDefault="00655947" w:rsidP="003A0BD5">
            <w:pPr>
              <w:spacing w:line="200" w:lineRule="auto"/>
              <w:jc w:val="center"/>
              <w:rPr>
                <w:sz w:val="21"/>
                <w:szCs w:val="21"/>
              </w:rPr>
            </w:pPr>
            <w:r>
              <w:rPr>
                <w:sz w:val="16"/>
                <w:szCs w:val="16"/>
              </w:rPr>
              <w:t>Global Energy Monitor–style tracker workbook</w:t>
            </w:r>
          </w:p>
        </w:tc>
        <w:tc>
          <w:tcPr>
            <w:tcW w:w="20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56DA7BF" w14:textId="77777777" w:rsidR="00655947" w:rsidRPr="0097561A" w:rsidRDefault="00655947" w:rsidP="003A0BD5">
            <w:pPr>
              <w:spacing w:line="200" w:lineRule="auto"/>
              <w:jc w:val="center"/>
              <w:rPr>
                <w:sz w:val="21"/>
                <w:szCs w:val="21"/>
              </w:rPr>
            </w:pPr>
            <w:r>
              <w:rPr>
                <w:sz w:val="16"/>
                <w:szCs w:val="16"/>
              </w:rPr>
              <w:t>Workbook dated Mar. 24, 2026</w:t>
            </w:r>
          </w:p>
        </w:tc>
        <w:tc>
          <w:tcPr>
            <w:tcW w:w="21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AC9049C" w14:textId="77777777" w:rsidR="00655947" w:rsidRPr="0097561A" w:rsidRDefault="00655947" w:rsidP="003A0BD5">
            <w:pPr>
              <w:spacing w:line="200" w:lineRule="auto"/>
              <w:rPr>
                <w:sz w:val="21"/>
                <w:szCs w:val="21"/>
              </w:rPr>
            </w:pPr>
            <w:r>
              <w:rPr>
                <w:sz w:val="16"/>
                <w:szCs w:val="16"/>
              </w:rPr>
              <w:t>Nearby renewables; proposed-generation stress scenario</w:t>
            </w:r>
          </w:p>
        </w:tc>
        <w:tc>
          <w:tcPr>
            <w:tcW w:w="9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CC28D50" w14:textId="77777777" w:rsidR="00655947" w:rsidRPr="0097561A" w:rsidRDefault="00655947" w:rsidP="003A0BD5">
            <w:pPr>
              <w:spacing w:line="200" w:lineRule="auto"/>
              <w:jc w:val="center"/>
              <w:rPr>
                <w:sz w:val="21"/>
                <w:szCs w:val="21"/>
              </w:rPr>
            </w:pPr>
            <w:r>
              <w:rPr>
                <w:sz w:val="16"/>
                <w:szCs w:val="16"/>
              </w:rPr>
              <w:t>[22]</w:t>
            </w:r>
          </w:p>
        </w:tc>
      </w:tr>
      <w:tr w:rsidR="00655947" w:rsidRPr="0097561A" w14:paraId="029A0467" w14:textId="77777777" w:rsidTr="003A0BD5">
        <w:tblPrEx>
          <w:tblCellMar>
            <w:top w:w="0" w:type="dxa"/>
            <w:bottom w:w="0" w:type="dxa"/>
          </w:tblCellMar>
        </w:tblPrEx>
        <w:trPr>
          <w:jc w:val="center"/>
        </w:trPr>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46A0B3D" w14:textId="77777777" w:rsidR="00655947" w:rsidRDefault="00655947" w:rsidP="003A0BD5">
            <w:pPr>
              <w:spacing w:line="200" w:lineRule="auto"/>
              <w:rPr>
                <w:sz w:val="16"/>
                <w:szCs w:val="16"/>
              </w:rPr>
            </w:pPr>
            <w:r>
              <w:rPr>
                <w:sz w:val="16"/>
                <w:szCs w:val="16"/>
              </w:rPr>
              <w:t>Interconnection facilities: 302 PeeringDB + 57 OpenStreetMap features, 336 merged points</w:t>
            </w:r>
          </w:p>
          <w:p w14:paraId="233E1235" w14:textId="77777777" w:rsidR="00655947" w:rsidRPr="00585CAC" w:rsidRDefault="00655947" w:rsidP="003A0BD5">
            <w:pPr>
              <w:spacing w:line="200" w:lineRule="auto"/>
              <w:rPr>
                <w:sz w:val="6"/>
                <w:szCs w:val="6"/>
              </w:rPr>
            </w:pPr>
          </w:p>
        </w:tc>
        <w:tc>
          <w:tcPr>
            <w:tcW w:w="15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F4D3613" w14:textId="77777777" w:rsidR="00655947" w:rsidRPr="0097561A" w:rsidRDefault="00655947" w:rsidP="003A0BD5">
            <w:pPr>
              <w:spacing w:line="200" w:lineRule="auto"/>
              <w:jc w:val="center"/>
              <w:rPr>
                <w:sz w:val="21"/>
                <w:szCs w:val="21"/>
              </w:rPr>
            </w:pPr>
            <w:r>
              <w:rPr>
                <w:sz w:val="16"/>
                <w:szCs w:val="16"/>
              </w:rPr>
              <w:t>PeeringDB; OpenStreetMap contributors</w:t>
            </w:r>
          </w:p>
        </w:tc>
        <w:tc>
          <w:tcPr>
            <w:tcW w:w="20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702040EE" w14:textId="77777777" w:rsidR="00655947" w:rsidRPr="0097561A" w:rsidRDefault="00655947" w:rsidP="003A0BD5">
            <w:pPr>
              <w:spacing w:line="200" w:lineRule="auto"/>
              <w:jc w:val="center"/>
              <w:rPr>
                <w:sz w:val="21"/>
                <w:szCs w:val="21"/>
              </w:rPr>
            </w:pPr>
            <w:r>
              <w:rPr>
                <w:sz w:val="16"/>
                <w:szCs w:val="16"/>
              </w:rPr>
              <w:t>Pulled May 25, 2026</w:t>
            </w:r>
          </w:p>
        </w:tc>
        <w:tc>
          <w:tcPr>
            <w:tcW w:w="21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067D5FC" w14:textId="77777777" w:rsidR="00655947" w:rsidRPr="0097561A" w:rsidRDefault="00655947" w:rsidP="003A0BD5">
            <w:pPr>
              <w:spacing w:line="200" w:lineRule="auto"/>
              <w:rPr>
                <w:sz w:val="21"/>
                <w:szCs w:val="21"/>
              </w:rPr>
            </w:pPr>
            <w:r>
              <w:rPr>
                <w:sz w:val="16"/>
                <w:szCs w:val="16"/>
              </w:rPr>
              <w:t>Fiber-anchor constraint (≤ 50 km) and objective</w:t>
            </w:r>
          </w:p>
        </w:tc>
        <w:tc>
          <w:tcPr>
            <w:tcW w:w="9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A88F133" w14:textId="77777777" w:rsidR="00655947" w:rsidRPr="0097561A" w:rsidRDefault="00655947" w:rsidP="003A0BD5">
            <w:pPr>
              <w:spacing w:line="200" w:lineRule="auto"/>
              <w:jc w:val="center"/>
              <w:rPr>
                <w:sz w:val="21"/>
                <w:szCs w:val="21"/>
              </w:rPr>
            </w:pPr>
            <w:r>
              <w:rPr>
                <w:sz w:val="16"/>
                <w:szCs w:val="16"/>
              </w:rPr>
              <w:t>[23], [24]</w:t>
            </w:r>
          </w:p>
        </w:tc>
      </w:tr>
      <w:tr w:rsidR="00655947" w:rsidRPr="0097561A" w14:paraId="054592A1" w14:textId="77777777" w:rsidTr="003A0BD5">
        <w:tblPrEx>
          <w:tblCellMar>
            <w:top w:w="0" w:type="dxa"/>
            <w:bottom w:w="0" w:type="dxa"/>
          </w:tblCellMar>
        </w:tblPrEx>
        <w:trPr>
          <w:jc w:val="center"/>
        </w:trPr>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9A792D8" w14:textId="77777777" w:rsidR="00655947" w:rsidRDefault="00655947" w:rsidP="003A0BD5">
            <w:pPr>
              <w:spacing w:line="200" w:lineRule="auto"/>
              <w:rPr>
                <w:sz w:val="16"/>
                <w:szCs w:val="16"/>
              </w:rPr>
            </w:pPr>
            <w:r>
              <w:rPr>
                <w:sz w:val="16"/>
                <w:szCs w:val="16"/>
              </w:rPr>
              <w:t>Facility inventory: 110 rows with operator, status, capacity, cooling, source URL</w:t>
            </w:r>
          </w:p>
          <w:p w14:paraId="5CB967D9" w14:textId="77777777" w:rsidR="00655947" w:rsidRPr="00585CAC" w:rsidRDefault="00655947" w:rsidP="003A0BD5">
            <w:pPr>
              <w:spacing w:line="200" w:lineRule="auto"/>
              <w:rPr>
                <w:sz w:val="6"/>
                <w:szCs w:val="6"/>
              </w:rPr>
            </w:pPr>
          </w:p>
        </w:tc>
        <w:tc>
          <w:tcPr>
            <w:tcW w:w="15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FD1D895" w14:textId="77777777" w:rsidR="00655947" w:rsidRPr="0097561A" w:rsidRDefault="00655947" w:rsidP="003A0BD5">
            <w:pPr>
              <w:spacing w:line="200" w:lineRule="auto"/>
              <w:jc w:val="center"/>
              <w:rPr>
                <w:sz w:val="21"/>
                <w:szCs w:val="21"/>
              </w:rPr>
            </w:pPr>
            <w:r>
              <w:rPr>
                <w:sz w:val="16"/>
                <w:szCs w:val="16"/>
              </w:rPr>
              <w:t>Operator disclosures and trade press</w:t>
            </w:r>
          </w:p>
        </w:tc>
        <w:tc>
          <w:tcPr>
            <w:tcW w:w="20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406EA36C" w14:textId="77777777" w:rsidR="00655947" w:rsidRPr="0097561A" w:rsidRDefault="00655947" w:rsidP="003A0BD5">
            <w:pPr>
              <w:spacing w:line="200" w:lineRule="auto"/>
              <w:jc w:val="center"/>
              <w:rPr>
                <w:sz w:val="21"/>
                <w:szCs w:val="21"/>
              </w:rPr>
            </w:pPr>
            <w:r>
              <w:rPr>
                <w:sz w:val="16"/>
                <w:szCs w:val="16"/>
              </w:rPr>
              <w:t>Compiled Sept. 2026</w:t>
            </w:r>
          </w:p>
        </w:tc>
        <w:tc>
          <w:tcPr>
            <w:tcW w:w="21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F803129" w14:textId="77777777" w:rsidR="00655947" w:rsidRPr="0097561A" w:rsidRDefault="00655947" w:rsidP="003A0BD5">
            <w:pPr>
              <w:spacing w:line="200" w:lineRule="auto"/>
              <w:rPr>
                <w:sz w:val="21"/>
                <w:szCs w:val="21"/>
              </w:rPr>
            </w:pPr>
            <w:r>
              <w:rPr>
                <w:sz w:val="16"/>
                <w:szCs w:val="16"/>
              </w:rPr>
              <w:t>Demand-side context; not used by the solver</w:t>
            </w:r>
          </w:p>
        </w:tc>
        <w:tc>
          <w:tcPr>
            <w:tcW w:w="9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3EAE450" w14:textId="77777777" w:rsidR="00655947" w:rsidRPr="0097561A" w:rsidRDefault="00655947" w:rsidP="003A0BD5">
            <w:pPr>
              <w:spacing w:line="200" w:lineRule="auto"/>
              <w:jc w:val="center"/>
              <w:rPr>
                <w:sz w:val="21"/>
                <w:szCs w:val="21"/>
              </w:rPr>
            </w:pPr>
            <w:r>
              <w:rPr>
                <w:sz w:val="16"/>
                <w:szCs w:val="16"/>
              </w:rPr>
              <w:t>[29]</w:t>
            </w:r>
          </w:p>
        </w:tc>
      </w:tr>
      <w:tr w:rsidR="00655947" w:rsidRPr="0097561A" w14:paraId="3B0DA045" w14:textId="77777777" w:rsidTr="003A0BD5">
        <w:tblPrEx>
          <w:tblCellMar>
            <w:top w:w="0" w:type="dxa"/>
            <w:bottom w:w="0" w:type="dxa"/>
          </w:tblCellMar>
        </w:tblPrEx>
        <w:trPr>
          <w:jc w:val="center"/>
        </w:trPr>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5916DB7D" w14:textId="77777777" w:rsidR="00655947" w:rsidRDefault="00655947" w:rsidP="003A0BD5">
            <w:pPr>
              <w:spacing w:line="200" w:lineRule="auto"/>
              <w:rPr>
                <w:sz w:val="16"/>
                <w:szCs w:val="16"/>
              </w:rPr>
            </w:pPr>
            <w:r>
              <w:rPr>
                <w:sz w:val="16"/>
                <w:szCs w:val="16"/>
              </w:rPr>
              <w:t>Land cover (30 classes) and surface water, 30 m</w:t>
            </w:r>
          </w:p>
          <w:p w14:paraId="5CEF42AB" w14:textId="77777777" w:rsidR="00655947" w:rsidRPr="00585CAC" w:rsidRDefault="00655947" w:rsidP="003A0BD5">
            <w:pPr>
              <w:spacing w:line="200" w:lineRule="auto"/>
              <w:rPr>
                <w:sz w:val="6"/>
                <w:szCs w:val="6"/>
              </w:rPr>
            </w:pPr>
          </w:p>
        </w:tc>
        <w:tc>
          <w:tcPr>
            <w:tcW w:w="15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1DD886A" w14:textId="77777777" w:rsidR="00655947" w:rsidRPr="0097561A" w:rsidRDefault="00655947" w:rsidP="003A0BD5">
            <w:pPr>
              <w:spacing w:line="200" w:lineRule="auto"/>
              <w:jc w:val="center"/>
              <w:rPr>
                <w:sz w:val="21"/>
                <w:szCs w:val="21"/>
              </w:rPr>
            </w:pPr>
            <w:r>
              <w:rPr>
                <w:sz w:val="16"/>
                <w:szCs w:val="16"/>
              </w:rPr>
              <w:t>MapBiomas Brazil, 2024</w:t>
            </w:r>
          </w:p>
        </w:tc>
        <w:tc>
          <w:tcPr>
            <w:tcW w:w="20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0AC732BD" w14:textId="77777777" w:rsidR="00655947" w:rsidRPr="0097561A" w:rsidRDefault="00655947" w:rsidP="003A0BD5">
            <w:pPr>
              <w:spacing w:line="200" w:lineRule="auto"/>
              <w:jc w:val="center"/>
              <w:rPr>
                <w:sz w:val="21"/>
                <w:szCs w:val="21"/>
              </w:rPr>
            </w:pPr>
            <w:r>
              <w:rPr>
                <w:sz w:val="16"/>
                <w:szCs w:val="16"/>
              </w:rPr>
              <w:t>Pulled May 27, 2026</w:t>
            </w:r>
          </w:p>
        </w:tc>
        <w:tc>
          <w:tcPr>
            <w:tcW w:w="21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6F2232D" w14:textId="77777777" w:rsidR="00655947" w:rsidRPr="0097561A" w:rsidRDefault="00655947" w:rsidP="003A0BD5">
            <w:pPr>
              <w:spacing w:line="200" w:lineRule="auto"/>
              <w:rPr>
                <w:sz w:val="21"/>
                <w:szCs w:val="21"/>
              </w:rPr>
            </w:pPr>
            <w:r>
              <w:rPr>
                <w:sz w:val="16"/>
                <w:szCs w:val="16"/>
              </w:rPr>
              <w:t>Vulnerability proxy; water hard exclusion</w:t>
            </w:r>
          </w:p>
        </w:tc>
        <w:tc>
          <w:tcPr>
            <w:tcW w:w="9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23C36C2" w14:textId="77777777" w:rsidR="00655947" w:rsidRPr="0097561A" w:rsidRDefault="00655947" w:rsidP="003A0BD5">
            <w:pPr>
              <w:spacing w:line="200" w:lineRule="auto"/>
              <w:jc w:val="center"/>
              <w:rPr>
                <w:sz w:val="21"/>
                <w:szCs w:val="21"/>
              </w:rPr>
            </w:pPr>
            <w:r>
              <w:rPr>
                <w:sz w:val="16"/>
                <w:szCs w:val="16"/>
              </w:rPr>
              <w:t>[25]</w:t>
            </w:r>
          </w:p>
        </w:tc>
      </w:tr>
      <w:tr w:rsidR="00655947" w:rsidRPr="0097561A" w14:paraId="6A2C6F84" w14:textId="77777777" w:rsidTr="003A0BD5">
        <w:tblPrEx>
          <w:tblCellMar>
            <w:top w:w="0" w:type="dxa"/>
            <w:bottom w:w="0" w:type="dxa"/>
          </w:tblCellMar>
        </w:tblPrEx>
        <w:trPr>
          <w:jc w:val="center"/>
        </w:trPr>
        <w:tc>
          <w:tcPr>
            <w:tcW w:w="225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14CA5135" w14:textId="77777777" w:rsidR="00655947" w:rsidRDefault="00655947" w:rsidP="003A0BD5">
            <w:pPr>
              <w:spacing w:line="200" w:lineRule="auto"/>
              <w:rPr>
                <w:sz w:val="16"/>
                <w:szCs w:val="16"/>
              </w:rPr>
            </w:pPr>
            <w:r>
              <w:rPr>
                <w:sz w:val="16"/>
                <w:szCs w:val="16"/>
              </w:rPr>
              <w:t>Sentinel-2 (B2–B12, NDVI, NDWI, NBR) and Sentinel-1 (VV, VH) quarterly composites, 10 m</w:t>
            </w:r>
          </w:p>
          <w:p w14:paraId="309A2570" w14:textId="77777777" w:rsidR="00655947" w:rsidRPr="00585CAC" w:rsidRDefault="00655947" w:rsidP="003A0BD5">
            <w:pPr>
              <w:spacing w:line="200" w:lineRule="auto"/>
              <w:rPr>
                <w:sz w:val="6"/>
                <w:szCs w:val="6"/>
              </w:rPr>
            </w:pPr>
          </w:p>
        </w:tc>
        <w:tc>
          <w:tcPr>
            <w:tcW w:w="153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249B0298" w14:textId="77777777" w:rsidR="00655947" w:rsidRPr="0097561A" w:rsidRDefault="00655947" w:rsidP="003A0BD5">
            <w:pPr>
              <w:spacing w:line="200" w:lineRule="auto"/>
              <w:jc w:val="center"/>
              <w:rPr>
                <w:sz w:val="21"/>
                <w:szCs w:val="21"/>
              </w:rPr>
            </w:pPr>
            <w:r>
              <w:rPr>
                <w:sz w:val="16"/>
                <w:szCs w:val="16"/>
              </w:rPr>
              <w:t>ESA Copernicus via Google Earth Engine</w:t>
            </w:r>
          </w:p>
        </w:tc>
        <w:tc>
          <w:tcPr>
            <w:tcW w:w="207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9BF50F1" w14:textId="77777777" w:rsidR="00655947" w:rsidRPr="0097561A" w:rsidRDefault="00655947" w:rsidP="003A0BD5">
            <w:pPr>
              <w:spacing w:line="200" w:lineRule="auto"/>
              <w:jc w:val="center"/>
              <w:rPr>
                <w:sz w:val="21"/>
                <w:szCs w:val="21"/>
              </w:rPr>
            </w:pPr>
            <w:r>
              <w:rPr>
                <w:sz w:val="16"/>
                <w:szCs w:val="16"/>
              </w:rPr>
              <w:t>Oct. 1, 2021–May 1, 2026; exported May 2026</w:t>
            </w:r>
          </w:p>
        </w:tc>
        <w:tc>
          <w:tcPr>
            <w:tcW w:w="216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6B911194" w14:textId="77777777" w:rsidR="00655947" w:rsidRPr="0097561A" w:rsidRDefault="00655947" w:rsidP="003A0BD5">
            <w:pPr>
              <w:spacing w:line="200" w:lineRule="auto"/>
              <w:rPr>
                <w:sz w:val="21"/>
                <w:szCs w:val="21"/>
              </w:rPr>
            </w:pPr>
            <w:r>
              <w:rPr>
                <w:sz w:val="16"/>
                <w:szCs w:val="16"/>
              </w:rPr>
              <w:t>Phase 2 degradation probability P_deg</w:t>
            </w:r>
          </w:p>
        </w:tc>
        <w:tc>
          <w:tcPr>
            <w:tcW w:w="900" w:type="dxa"/>
            <w:tcBorders>
              <w:top w:val="none" w:sz="0" w:space="0" w:color="FFFFFF"/>
              <w:left w:val="none" w:sz="0" w:space="0" w:color="FFFFFF"/>
              <w:bottom w:val="none" w:sz="0" w:space="0" w:color="FFFFFF"/>
              <w:right w:val="none" w:sz="0" w:space="0" w:color="FFFFFF"/>
            </w:tcBorders>
            <w:tcMar>
              <w:top w:w="20" w:type="dxa"/>
              <w:left w:w="40" w:type="dxa"/>
              <w:bottom w:w="20" w:type="dxa"/>
              <w:right w:w="40" w:type="dxa"/>
            </w:tcMar>
          </w:tcPr>
          <w:p w14:paraId="375C476A" w14:textId="77777777" w:rsidR="00655947" w:rsidRPr="0097561A" w:rsidRDefault="00655947" w:rsidP="003A0BD5">
            <w:pPr>
              <w:spacing w:line="200" w:lineRule="auto"/>
              <w:jc w:val="center"/>
              <w:rPr>
                <w:sz w:val="21"/>
                <w:szCs w:val="21"/>
              </w:rPr>
            </w:pPr>
            <w:r>
              <w:rPr>
                <w:sz w:val="16"/>
                <w:szCs w:val="16"/>
              </w:rPr>
              <w:t>[26], [27]</w:t>
            </w:r>
          </w:p>
        </w:tc>
      </w:tr>
      <w:tr w:rsidR="00655947" w:rsidRPr="0097561A" w14:paraId="119ADED3" w14:textId="77777777" w:rsidTr="003A0BD5">
        <w:tblPrEx>
          <w:tblCellMar>
            <w:top w:w="0" w:type="dxa"/>
            <w:bottom w:w="0" w:type="dxa"/>
          </w:tblCellMar>
        </w:tblPrEx>
        <w:trPr>
          <w:jc w:val="center"/>
        </w:trPr>
        <w:tc>
          <w:tcPr>
            <w:tcW w:w="2250" w:type="dxa"/>
            <w:tcBorders>
              <w:top w:val="none" w:sz="0" w:space="0" w:color="FFFFFF"/>
              <w:left w:val="none" w:sz="0" w:space="0" w:color="FFFFFF"/>
              <w:bottom w:val="single" w:sz="4" w:space="0" w:color="000000"/>
              <w:right w:val="none" w:sz="0" w:space="0" w:color="FFFFFF"/>
            </w:tcBorders>
            <w:tcMar>
              <w:top w:w="20" w:type="dxa"/>
              <w:left w:w="40" w:type="dxa"/>
              <w:bottom w:w="20" w:type="dxa"/>
              <w:right w:w="40" w:type="dxa"/>
            </w:tcMar>
          </w:tcPr>
          <w:p w14:paraId="45BF1C21" w14:textId="77777777" w:rsidR="00655947" w:rsidRPr="0097561A" w:rsidRDefault="00655947" w:rsidP="003A0BD5">
            <w:pPr>
              <w:spacing w:line="200" w:lineRule="auto"/>
              <w:rPr>
                <w:sz w:val="21"/>
                <w:szCs w:val="21"/>
              </w:rPr>
            </w:pPr>
            <w:r>
              <w:rPr>
                <w:sz w:val="16"/>
                <w:szCs w:val="16"/>
              </w:rPr>
              <w:t>Policy corpus: 36 documents (12 ReData, 15 land and environmental law, 9 peer-reviewed)</w:t>
            </w:r>
          </w:p>
        </w:tc>
        <w:tc>
          <w:tcPr>
            <w:tcW w:w="1530" w:type="dxa"/>
            <w:tcBorders>
              <w:top w:val="none" w:sz="0" w:space="0" w:color="FFFFFF"/>
              <w:left w:val="none" w:sz="0" w:space="0" w:color="FFFFFF"/>
              <w:bottom w:val="single" w:sz="4" w:space="0" w:color="000000"/>
              <w:right w:val="none" w:sz="0" w:space="0" w:color="FFFFFF"/>
            </w:tcBorders>
            <w:tcMar>
              <w:top w:w="20" w:type="dxa"/>
              <w:left w:w="40" w:type="dxa"/>
              <w:bottom w:w="20" w:type="dxa"/>
              <w:right w:w="40" w:type="dxa"/>
            </w:tcMar>
          </w:tcPr>
          <w:p w14:paraId="4FA6FD85" w14:textId="77777777" w:rsidR="00655947" w:rsidRPr="0097561A" w:rsidRDefault="00655947" w:rsidP="003A0BD5">
            <w:pPr>
              <w:spacing w:line="200" w:lineRule="auto"/>
              <w:jc w:val="center"/>
              <w:rPr>
                <w:sz w:val="21"/>
                <w:szCs w:val="21"/>
              </w:rPr>
            </w:pPr>
            <w:r>
              <w:rPr>
                <w:sz w:val="16"/>
                <w:szCs w:val="16"/>
              </w:rPr>
              <w:t xml:space="preserve">Planalto, Senado, Câmara, MME, MMA, MDIC, Anatel; journals</w:t>
            </w:r>
          </w:p>
        </w:tc>
        <w:tc>
          <w:tcPr>
            <w:tcW w:w="2070" w:type="dxa"/>
            <w:tcBorders>
              <w:top w:val="none" w:sz="0" w:space="0" w:color="FFFFFF"/>
              <w:left w:val="none" w:sz="0" w:space="0" w:color="FFFFFF"/>
              <w:bottom w:val="single" w:sz="4" w:space="0" w:color="000000"/>
              <w:right w:val="none" w:sz="0" w:space="0" w:color="FFFFFF"/>
            </w:tcBorders>
            <w:tcMar>
              <w:top w:w="20" w:type="dxa"/>
              <w:left w:w="40" w:type="dxa"/>
              <w:bottom w:w="20" w:type="dxa"/>
              <w:right w:w="40" w:type="dxa"/>
            </w:tcMar>
          </w:tcPr>
          <w:p w14:paraId="5458C7DC" w14:textId="77777777" w:rsidR="00655947" w:rsidRPr="0097561A" w:rsidRDefault="00655947" w:rsidP="003A0BD5">
            <w:pPr>
              <w:spacing w:line="200" w:lineRule="auto"/>
              <w:jc w:val="center"/>
              <w:rPr>
                <w:sz w:val="21"/>
                <w:szCs w:val="21"/>
              </w:rPr>
            </w:pPr>
            <w:r>
              <w:rPr>
                <w:sz w:val="16"/>
                <w:szCs w:val="16"/>
              </w:rPr>
              <w:t>Documents 1973–2026; corpus updated May 28, 2026</w:t>
            </w:r>
          </w:p>
        </w:tc>
        <w:tc>
          <w:tcPr>
            <w:tcW w:w="2160" w:type="dxa"/>
            <w:tcBorders>
              <w:top w:val="none" w:sz="0" w:space="0" w:color="FFFFFF"/>
              <w:left w:val="none" w:sz="0" w:space="0" w:color="FFFFFF"/>
              <w:bottom w:val="single" w:sz="4" w:space="0" w:color="000000"/>
              <w:right w:val="none" w:sz="0" w:space="0" w:color="FFFFFF"/>
            </w:tcBorders>
            <w:tcMar>
              <w:top w:w="20" w:type="dxa"/>
              <w:left w:w="40" w:type="dxa"/>
              <w:bottom w:w="20" w:type="dxa"/>
              <w:right w:w="40" w:type="dxa"/>
            </w:tcMar>
          </w:tcPr>
          <w:p w14:paraId="6CF81604" w14:textId="77777777" w:rsidR="00655947" w:rsidRPr="0097561A" w:rsidRDefault="00655947" w:rsidP="003A0BD5">
            <w:pPr>
              <w:spacing w:line="200" w:lineRule="auto"/>
              <w:rPr>
                <w:sz w:val="21"/>
                <w:szCs w:val="21"/>
              </w:rPr>
            </w:pPr>
            <w:r>
              <w:rPr>
                <w:sz w:val="16"/>
                <w:szCs w:val="16"/>
              </w:rPr>
              <w:t>Phase 3 bounded policy classifier</w:t>
            </w:r>
          </w:p>
        </w:tc>
        <w:tc>
          <w:tcPr>
            <w:tcW w:w="900" w:type="dxa"/>
            <w:tcBorders>
              <w:top w:val="none" w:sz="0" w:space="0" w:color="FFFFFF"/>
              <w:left w:val="none" w:sz="0" w:space="0" w:color="FFFFFF"/>
              <w:bottom w:val="single" w:sz="4" w:space="0" w:color="000000"/>
              <w:right w:val="none" w:sz="0" w:space="0" w:color="FFFFFF"/>
            </w:tcBorders>
            <w:tcMar>
              <w:top w:w="20" w:type="dxa"/>
              <w:left w:w="40" w:type="dxa"/>
              <w:bottom w:w="20" w:type="dxa"/>
              <w:right w:w="40" w:type="dxa"/>
            </w:tcMar>
          </w:tcPr>
          <w:p w14:paraId="04718228" w14:textId="77777777" w:rsidR="00655947" w:rsidRPr="0097561A" w:rsidRDefault="00655947" w:rsidP="003A0BD5">
            <w:pPr>
              <w:spacing w:line="200" w:lineRule="auto"/>
              <w:jc w:val="center"/>
              <w:rPr>
                <w:sz w:val="21"/>
                <w:szCs w:val="21"/>
              </w:rPr>
            </w:pPr>
            <w:r>
              <w:rPr>
                <w:sz w:val="16"/>
                <w:szCs w:val="16"/>
              </w:rPr>
              <w:t>[2]–[5], [17], [18], [34], [35]</w:t>
            </w:r>
          </w:p>
        </w:tc>
      </w:tr>
    </w:tbl>
    <w:p w14:paraId="2FC36BEA" w14:textId="77777777" w:rsidR="00655947" w:rsidRDefault="00655947" w:rsidP="00655947">
      <w:pPr>
        <w:keepNext/>
        <w:spacing w:before="80"/>
        <w:rPr>
          <w:smallCaps/>
          <w:sz w:val="18"/>
          <w:szCs w:val="18"/>
        </w:rPr>
      </w:pPr>
    </w:p>
    <w:p w14:paraId="1C4314B3" w14:textId="46B90DE5" w:rsidR="00E34954" w:rsidRDefault="00E34954" w:rsidP="00E34954">
      <w:pPr>
        <w:keepNext/>
        <w:spacing w:before="200" w:after="80"/>
        <w:rPr>
          <w:sz w:val="21"/>
          <w:szCs w:val="21"/>
        </w:rPr>
      </w:pPr>
      <w:r>
        <w:rPr>
          <w:sz w:val="21"/>
          <w:szCs w:val="21"/>
        </w:rPr>
        <w:t xml:space="preserve">   This model extends that literature by applying legal and infrastructure constraints before ranking the remaining locations. Each policy rule is linked to a source in the 36-document corpus, allowing policymakers to trace why a location was excluded, flagged, or retained. The 2.5 km review buffer follows de Godoy et al., who show that overlaps between conservation units and traditional territories often occur where management plans are absent </w:t>
      </w:r>
      <w:r>
        <w:rPr>
          <w:rStyle w:val="text-token-text-primary"/>
          <w:sz w:val="21"/>
          <w:szCs w:val="21"/>
        </w:rPr>
        <w:t>[33]</w:t>
      </w:r>
      <w:r>
        <w:rPr>
          <w:sz w:val="21"/>
          <w:szCs w:val="21"/>
        </w:rPr>
        <w:t>. Proximity to these boundaries is therefore treated as a reason for additional review rather than as a minor mapping detail.</w:t>
      </w:r>
    </w:p>
    <w:p w14:paraId="793C75B7" w14:textId="14225CAE" w:rsidR="000D5CB3" w:rsidRPr="000D5CB3" w:rsidRDefault="000D5CB3" w:rsidP="00E34954">
      <w:pPr>
        <w:keepNext/>
        <w:spacing w:before="200" w:after="80"/>
        <w:rPr>
          <w:smallCaps/>
          <w:sz w:val="21"/>
          <w:szCs w:val="21"/>
        </w:rPr>
      </w:pPr>
      <w:r>
        <w:rPr>
          <w:sz w:val="21"/>
          <w:szCs w:val="21"/>
        </w:rPr>
        <w:t xml:space="preserve">   The model is intended to support early policy evaluation, not to automate siting or licensing decisions. Recent reviews find that spatial decision-support tools can help policymakers compare tradeoffs and understand complex data, but they often emphasize technical information while failing to represent qualitative evidence and groups that are difficult to include in formal planning processes </w:t>
      </w:r>
      <w:r>
        <w:rPr>
          <w:rStyle w:val="text-token-text-primary"/>
          <w:sz w:val="21"/>
          <w:szCs w:val="21"/>
        </w:rPr>
        <w:t>[38]</w:t>
      </w:r>
      <w:r>
        <w:rPr>
          <w:sz w:val="21"/>
          <w:szCs w:val="21"/>
        </w:rPr>
        <w:t xml:space="preserve">. Spatial-justice research consequently recommends evaluating not only where infrastructure is placed, but also how its benefits and burdens are distributed, whose knowledge is recognized, and who participates in the decision </w:t>
      </w:r>
      <w:r>
        <w:rPr>
          <w:rStyle w:val="text-token-text-primary"/>
          <w:sz w:val="21"/>
          <w:szCs w:val="21"/>
        </w:rPr>
        <w:t>[39]</w:t>
      </w:r>
      <w:r>
        <w:rPr>
          <w:sz w:val="21"/>
          <w:szCs w:val="21"/>
        </w:rPr>
        <w:t>. The model therefore identifies potentially suitable locations and areas of conflict while leaving final decisions to environmental review, consultation with affected communities, and the appropriate public authorities.</w:t>
      </w:r>
    </w:p>
    <w:p w14:paraId="7F1E3F39" w14:textId="334940AE" w:rsidR="0090483D" w:rsidRPr="00E32651" w:rsidRDefault="0090483D" w:rsidP="0090483D">
      <w:pPr>
        <w:keepNext/>
        <w:spacing w:before="200" w:after="80"/>
        <w:jc w:val="center"/>
        <w:rPr>
          <w:smallCaps/>
          <w:sz w:val="21"/>
          <w:szCs w:val="21"/>
        </w:rPr>
      </w:pPr>
      <w:r>
        <w:rPr>
          <w:smallCaps/>
          <w:sz w:val="21"/>
          <w:szCs w:val="21"/>
        </w:rPr>
        <w:t>IV. Results</w:t>
      </w:r>
    </w:p>
    <w:p w14:paraId="466C6584" w14:textId="77777777" w:rsidR="0090483D" w:rsidRDefault="0090483D" w:rsidP="0090483D">
      <w:pPr>
        <w:tabs>
          <w:tab w:val="left" w:pos="7175"/>
        </w:tabs>
        <w:rPr>
          <w:sz w:val="21"/>
          <w:szCs w:val="21"/>
        </w:rPr>
      </w:pPr>
      <w:r>
        <w:rPr>
          <w:sz w:val="21"/>
          <w:szCs w:val="21"/>
        </w:rPr>
        <w:t xml:space="preserve">  Between October 2021 and May 2026, wind and solar plants under ONS constrained-off tracking generated 502.3 TWh and were ordered to curtail 63.5 TWh, 11.2% of potential output [21]. Five states account for 93% of the curtailed energy: Rio Grande do Norte (21.6 TWh), Bahia (18.2), Minas Gerais (7.2), Ceará (6.0), and Piauí (6.0); the Northeast alone accounts for 87%. The demand side is the mirror image: São Paulo and Rio de Janeiro hold 78 of the 110 inventoried facilities (71%) and 142 of the 336 interconnection points (42%); the five high-curtailment states hold nine, seven in Ceará. The 27-state screen, weighted 0.30 on market and interconnection, still ranks São Paulo (86.1) and Minas Gerais (74.8) first and Ceará seventh (64.0); ReData’s regional discounts are not yet in the weights, so the Northeast lean comes from the policy, not from the ranking.</w:t>
      </w:r>
    </w:p>
    <w:p w14:paraId="477F63E0" w14:textId="77777777" w:rsidR="0090483D" w:rsidRPr="00003CBF" w:rsidRDefault="0090483D" w:rsidP="0090483D">
      <w:pPr>
        <w:tabs>
          <w:tab w:val="left" w:pos="7175"/>
        </w:tabs>
        <w:rPr>
          <w:sz w:val="21"/>
          <w:szCs w:val="21"/>
        </w:rPr>
      </w:pPr>
    </w:p>
    <w:p w14:paraId="7D2769EE" w14:textId="77777777" w:rsidR="0090483D" w:rsidRPr="00E32651" w:rsidRDefault="0090483D" w:rsidP="0090483D">
      <w:pPr>
        <w:tabs>
          <w:tab w:val="left" w:pos="7175"/>
        </w:tabs>
        <w:rPr>
          <w:i/>
          <w:iCs/>
          <w:sz w:val="21"/>
          <w:szCs w:val="21"/>
        </w:rPr>
      </w:pPr>
      <w:r>
        <w:rPr>
          <w:i/>
          <w:iCs/>
          <w:sz w:val="21"/>
          <w:szCs w:val="21"/>
        </w:rPr>
        <w:lastRenderedPageBreak/>
        <w:t>A. Binding Constraint</w:t>
      </w:r>
    </w:p>
    <w:p w14:paraId="6C17BC54" w14:textId="77777777" w:rsidR="0090483D" w:rsidRDefault="0090483D" w:rsidP="0090483D">
      <w:pPr>
        <w:tabs>
          <w:tab w:val="left" w:pos="7175"/>
        </w:tabs>
        <w:rPr>
          <w:sz w:val="21"/>
          <w:szCs w:val="21"/>
        </w:rPr>
      </w:pPr>
      <w:r>
        <w:rPr>
          <w:sz w:val="21"/>
          <w:szCs w:val="21"/>
        </w:rPr>
        <w:t xml:space="preserve">  The ONS topology carries 1,705 buses, 1,838 branches, and 198,138 MW [20]. Placing the inventory’s 3,552 proposed plants (463,005 MW) on that topology with transmission fixed raises overloaded branches from 1 to 236 and branches above 75% loading from 9 to 335. Ceará is the extreme: 6,294 MW installed against 91,886 MW proposed, the largest build-out of any state, with the lowest transmission headroom in the country (0.07 on a 0–1 scale). A data center meant to absorb curtailed energy must sit where a substation with headroom is within each, and the interconnection queue, not land, will set its timing. The overlay is a DC power-flow proxy, not a dispatch forecast.</w:t>
      </w:r>
    </w:p>
    <w:p w14:paraId="65A0DFDE" w14:textId="77777777" w:rsidR="0090483D" w:rsidRPr="00003CBF" w:rsidRDefault="0090483D" w:rsidP="0090483D">
      <w:pPr>
        <w:tabs>
          <w:tab w:val="left" w:pos="7175"/>
        </w:tabs>
        <w:rPr>
          <w:sz w:val="21"/>
          <w:szCs w:val="21"/>
        </w:rPr>
      </w:pPr>
    </w:p>
    <w:p w14:paraId="67B94381" w14:textId="2CA28FDA" w:rsidR="0090483D" w:rsidRPr="00E32651" w:rsidRDefault="0088479D" w:rsidP="0090483D">
      <w:pPr>
        <w:tabs>
          <w:tab w:val="left" w:pos="7175"/>
        </w:tabs>
        <w:rPr>
          <w:i/>
          <w:iCs/>
          <w:sz w:val="21"/>
          <w:szCs w:val="21"/>
        </w:rPr>
      </w:pPr>
      <w:r>
        <w:rPr>
          <w:i/>
          <w:iCs/>
          <w:sz w:val="21"/>
          <w:szCs w:val="21"/>
        </w:rPr>
        <w:t>B. Siting Pressure on Protected Territories</w:t>
      </w:r>
    </w:p>
    <w:p w14:paraId="495F8F5E" w14:textId="77777777" w:rsidR="0090483D" w:rsidRPr="0097561A" w:rsidRDefault="0090483D" w:rsidP="0090483D">
      <w:pPr>
        <w:jc w:val="both"/>
        <w:rPr>
          <w:sz w:val="21"/>
          <w:szCs w:val="21"/>
        </w:rPr>
      </w:pPr>
      <w:r>
        <w:rPr>
          <w:sz w:val="21"/>
          <w:szCs w:val="21"/>
        </w:rPr>
        <w:t xml:space="preserve">  The Ceará box is crowded with legal boundaries. Of its 2,808 cells, 1,353 lie offshore or outside the state, leaving 1,455 on land; 232 of those overlap conservation units, 124 overlap indigenous lands (Tapeba, declared, and Taba dos Anacé, in demarcation), and 552 lie within 2.5 km of one of those boundaries. Phase 3 hard-excludes 1,737 cells and 819 survive every constraint. The review flag then tracks the frontier upward: 246 of the 819 feasible cells carry it (30%), 73 of the 448 frontier cells, and 10 of the 25 recommended sites. Eight of the ten lie within the 2.5 km buffer, seven beside conservation units (an ecological station and an environmental protection area) and one, ranked eighth, 2.4 km from the Tapeba indigenous land in Caucaia, the municipality of the contested project in [11]; the other two are flagged for high land-cover vulnerability. Fifteen of the 25 lie within 5 km of a boundary; under the corrected run described below, the review share rises to 12 of 25 and the within-5-km count to 20. The pattern is the finding: once ocean, water, and overlapping territory are removed, the cells the model likes best press against the boundaries the law protects, and the wind-farm record [6]–[9] shows what happens when that pressure is licensed without the communities at the table.</w:t>
      </w:r>
    </w:p>
    <w:p w14:paraId="7B5FA43C" w14:textId="77777777" w:rsidR="00781B81" w:rsidRDefault="00781B81" w:rsidP="00781B81">
      <w:pPr>
        <w:keepNext/>
        <w:rPr>
          <w:i/>
          <w:iCs/>
          <w:sz w:val="21"/>
          <w:szCs w:val="21"/>
        </w:rPr>
      </w:pPr>
    </w:p>
    <w:p w14:paraId="720BEB60" w14:textId="7CB5E100" w:rsidR="0090483D" w:rsidRPr="0097561A" w:rsidRDefault="0088479D" w:rsidP="00781B81">
      <w:pPr>
        <w:keepNext/>
        <w:spacing w:before="110"/>
        <w:rPr>
          <w:sz w:val="21"/>
          <w:szCs w:val="21"/>
        </w:rPr>
      </w:pPr>
      <w:r>
        <w:rPr>
          <w:i/>
          <w:iCs/>
          <w:sz w:val="21"/>
          <w:szCs w:val="21"/>
        </w:rPr>
        <w:t xml:space="preserve">C. Limitations</w:t>
      </w:r>
    </w:p>
    <w:p w14:paraId="4E51C719" w14:textId="77777777" w:rsidR="0090483D" w:rsidRPr="0097561A" w:rsidRDefault="0090483D" w:rsidP="0090483D">
      <w:pPr>
        <w:jc w:val="both"/>
        <w:rPr>
          <w:sz w:val="21"/>
          <w:szCs w:val="21"/>
        </w:rPr>
      </w:pPr>
      <w:r>
        <w:rPr>
          <w:sz w:val="21"/>
          <w:szCs w:val="21"/>
        </w:rPr>
        <w:t xml:space="preserve">   Five limits are documented, not corrected, so the published numbers stay reproducible. First, a shortcut in Phase 4 treats a distance of exactly zero as missing, so a cell that a transmission line crosses is rejected as too far from one; correcting it admits   147 cells (966 feasible, 505 on the frontier) and promotes a cell scoring 74.33 above the current top of 73.52. Second, the curtailment objective is zero inside the box, so the frontier is effectively five-objective. Third, </w:t>
      </w:r>
      <w:r>
        <w:rPr>
          <w:i/>
          <w:iCs/>
          <w:sz w:val="21"/>
          <w:szCs w:val="21"/>
        </w:rPr>
        <w:t>P</w:t>
      </w:r>
      <w:r>
        <w:rPr>
          <w:sz w:val="21"/>
          <w:szCs w:val="21"/>
          <w:vertAlign w:val="subscript"/>
        </w:rPr>
        <w:t>deg</w:t>
      </w:r>
      <w:r>
        <w:rPr>
          <w:sz w:val="21"/>
          <w:szCs w:val="21"/>
        </w:rPr>
        <w:t xml:space="preserve"> is capped at 0.90 for 355 cells, water is a yes/no test at cell centers, the land-cover raster is a partial download, and 50 of the 110 inventoried facilities sit at city or state centroids. Fourth, the classifier records no reason when the land-cover trigger alone sets a review flag, so two of the ten flagged sites read “no policy trigger.” Fifth, ANA water rights, quilombola territories, and the ANEEL plant registry are absent although the 0.05 L/kWh ceiling is ReData’s most quantitative condition.</w:t>
      </w:r>
    </w:p>
    <w:p w14:paraId="324FE246" w14:textId="77777777" w:rsidR="0090483D" w:rsidRPr="0097561A" w:rsidRDefault="0090483D" w:rsidP="0090483D">
      <w:pPr>
        <w:keepNext/>
        <w:spacing w:before="200" w:after="80"/>
        <w:jc w:val="center"/>
        <w:rPr>
          <w:sz w:val="21"/>
          <w:szCs w:val="21"/>
        </w:rPr>
      </w:pPr>
      <w:r>
        <w:rPr>
          <w:smallCaps/>
          <w:sz w:val="21"/>
          <w:szCs w:val="21"/>
        </w:rPr>
        <w:t>V. Conclusion</w:t>
      </w:r>
    </w:p>
    <w:p w14:paraId="3DA86940" w14:textId="77777777" w:rsidR="0090483D" w:rsidRPr="00585CAC" w:rsidRDefault="0090483D" w:rsidP="0090483D">
      <w:pPr>
        <w:ind w:firstLine="200"/>
        <w:jc w:val="both"/>
        <w:rPr>
          <w:sz w:val="21"/>
          <w:szCs w:val="21"/>
        </w:rPr>
      </w:pPr>
      <w:r>
        <w:rPr>
          <w:sz w:val="21"/>
          <w:szCs w:val="21"/>
        </w:rPr>
        <w:t xml:space="preserve">ReData points gigawatt-scale load toward the Northeast; the wires there are already the constraint; and on the Ceará coast the cells that survive every filter sit against conservation units and a declared indigenous land in a municipality where a data center is already contested. The model makes that tension measurable before licensing begins. Next: ReData’s regional counterparts in the state weights, ANA water rights and quilombola territories as layers, the zero-distance correction applied, and the review-buffer finding reported under both runs.</w:t>
      </w:r>
    </w:p>
    <w:p w14:paraId="00DAA395" w14:textId="77777777" w:rsidR="0090483D" w:rsidRPr="0097561A" w:rsidRDefault="0090483D" w:rsidP="0090483D">
      <w:pPr>
        <w:keepNext/>
        <w:spacing w:before="200" w:after="80"/>
        <w:jc w:val="center"/>
        <w:rPr>
          <w:sz w:val="21"/>
          <w:szCs w:val="21"/>
        </w:rPr>
      </w:pPr>
      <w:r>
        <w:rPr>
          <w:smallCaps/>
          <w:sz w:val="21"/>
          <w:szCs w:val="21"/>
        </w:rPr>
        <w:t>References</w:t>
      </w:r>
    </w:p>
    <w:p w14:paraId="5EC22ABF" w14:textId="77777777" w:rsidR="0090483D" w:rsidRPr="0097561A" w:rsidRDefault="0090483D" w:rsidP="0090483D">
      <w:pPr>
        <w:tabs>
          <w:tab w:val="left" w:pos="360"/>
        </w:tabs>
        <w:spacing w:after="20" w:line="220" w:lineRule="auto"/>
        <w:ind w:left="360" w:hanging="360"/>
        <w:rPr>
          <w:sz w:val="21"/>
          <w:szCs w:val="21"/>
        </w:rPr>
      </w:pPr>
      <w:r>
        <w:rPr>
          <w:sz w:val="18"/>
          <w:szCs w:val="18"/>
        </w:rPr>
        <w:t>[1]</w:t>
        <w:tab/>
        <w:t xml:space="preserve">A. García Zaballos et al., </w:t>
      </w:r>
      <w:r>
        <w:rPr>
          <w:i/>
          <w:iCs/>
          <w:sz w:val="18"/>
          <w:szCs w:val="18"/>
        </w:rPr>
        <w:t>Capturing the Data Center Opportunity in Latin America and the Caribbean</w:t>
      </w:r>
      <w:r>
        <w:rPr>
          <w:sz w:val="18"/>
          <w:szCs w:val="18"/>
        </w:rPr>
        <w:t xml:space="preserve">. Washington, DC, USA: Inter-American Development Bank, 2025, doi: 10.18235/0013774.</w:t>
      </w:r>
    </w:p>
    <w:p w14:paraId="59EED440" w14:textId="77777777" w:rsidR="0090483D" w:rsidRPr="0097561A" w:rsidRDefault="0090483D" w:rsidP="0090483D">
      <w:pPr>
        <w:tabs>
          <w:tab w:val="left" w:pos="360"/>
        </w:tabs>
        <w:spacing w:after="20" w:line="220" w:lineRule="auto"/>
        <w:ind w:left="360" w:hanging="360"/>
        <w:rPr>
          <w:sz w:val="21"/>
          <w:szCs w:val="21"/>
        </w:rPr>
      </w:pPr>
      <w:r>
        <w:rPr>
          <w:sz w:val="18"/>
          <w:szCs w:val="18"/>
        </w:rPr>
        <w:t>[2]</w:t>
        <w:tab/>
        <w:t xml:space="preserve">Presidência da República, “Medida Provisória nº 1.318, de 17 de setembro de 2025 (REDATA),” Planalto, Brasília, Brazil, Sept. 17, 2025. [Online]. Available: https://www.planalto.gov.br/ccivil_03/_ato2023-2026/2025/mpv/mpv1318.htm</w:t>
      </w:r>
    </w:p>
    <w:p w14:paraId="3A519203" w14:textId="20E52F2A" w:rsidR="0090483D" w:rsidRDefault="0090483D" w:rsidP="0090483D">
      <w:pPr>
        <w:tabs>
          <w:tab w:val="left" w:pos="360"/>
        </w:tabs>
        <w:spacing w:after="20" w:line="220" w:lineRule="auto"/>
        <w:ind w:left="360" w:hanging="360"/>
        <w:rPr>
          <w:sz w:val="18"/>
          <w:szCs w:val="18"/>
        </w:rPr>
      </w:pPr>
      <w:r>
        <w:rPr>
          <w:sz w:val="18"/>
          <w:szCs w:val="18"/>
        </w:rPr>
        <w:t>[3]</w:t>
        <w:tab/>
        <w:t xml:space="preserve">Senado Federal, “Incentivo para instalação de data centers no Brasil é aprovado pelo Senado,” Agência Senado, Sept. 1, 2026 (PL 278/2026). [Online]. Available: </w:t>
      </w:r>
      <w:hyperlink r:id="rId6" w:history="1">
        <w:r>
          <w:rPr>
            <w:rStyle w:val="Hyperlink"/>
            <w:sz w:val="18"/>
            <w:szCs w:val="18"/>
          </w:rPr>
          <w:t>https://www12.senado.leg.br/noticias/materias/2026/09/01/</w:t>
        </w:r>
      </w:hyperlink>
    </w:p>
    <w:p w14:paraId="5452215A" w14:textId="12025617" w:rsidR="00C81A10" w:rsidRPr="00C81A10" w:rsidRDefault="00C81A10" w:rsidP="0090483D">
      <w:pPr>
        <w:tabs>
          <w:tab w:val="left" w:pos="360"/>
        </w:tabs>
        <w:spacing w:after="20" w:line="220" w:lineRule="auto"/>
        <w:ind w:left="360" w:hanging="360"/>
        <w:rPr>
          <w:sz w:val="18"/>
          <w:szCs w:val="18"/>
        </w:rPr>
      </w:pPr>
      <w:r>
        <w:t xml:space="preserve">[4] </w:t>
      </w:r>
      <w:r>
        <w:rPr>
          <w:sz w:val="18"/>
          <w:szCs w:val="18"/>
        </w:rPr>
        <w:t xml:space="preserve">Brasil, Lei nº 15.504, de 15 de setembro de 2026, "Institui o Regime Especial de Tributação para Serviços de Datacenter (ReData)," </w:t>
      </w:r>
      <w:r>
        <w:rPr>
          <w:i/>
          <w:iCs/>
          <w:sz w:val="18"/>
          <w:szCs w:val="18"/>
        </w:rPr>
        <w:t xml:space="preserve">Diário Oficial da União</w:t>
      </w:r>
      <w:r>
        <w:rPr>
          <w:sz w:val="18"/>
          <w:szCs w:val="18"/>
        </w:rPr>
        <w:t xml:space="preserve">, edição extra, Sept. 15, 2026.</w:t>
      </w:r>
    </w:p>
    <w:p w14:paraId="665B531B" w14:textId="18101DC1" w:rsidR="0090483D" w:rsidRPr="0097561A" w:rsidRDefault="0090483D" w:rsidP="0090483D">
      <w:pPr>
        <w:tabs>
          <w:tab w:val="left" w:pos="360"/>
        </w:tabs>
        <w:spacing w:after="20" w:line="220" w:lineRule="auto"/>
        <w:ind w:left="360" w:hanging="360"/>
        <w:rPr>
          <w:sz w:val="21"/>
          <w:szCs w:val="21"/>
        </w:rPr>
      </w:pPr>
      <w:r>
        <w:rPr>
          <w:sz w:val="18"/>
          <w:szCs w:val="18"/>
        </w:rPr>
        <w:t>[5]</w:t>
        <w:tab/>
        <w:t xml:space="preserve">Ministério de Minas e Energia, “Redata: Política de Acesso e Incentivos para Data Centers,” gov.br, 2026.</w:t>
      </w:r>
    </w:p>
    <w:p w14:paraId="589020BA" w14:textId="1505ADDB" w:rsidR="0090483D" w:rsidRPr="0097561A" w:rsidRDefault="0090483D" w:rsidP="0090483D">
      <w:pPr>
        <w:tabs>
          <w:tab w:val="left" w:pos="360"/>
        </w:tabs>
        <w:spacing w:after="20" w:line="220" w:lineRule="auto"/>
        <w:ind w:left="360" w:hanging="360"/>
        <w:rPr>
          <w:sz w:val="21"/>
          <w:szCs w:val="21"/>
        </w:rPr>
      </w:pPr>
      <w:r>
        <w:rPr>
          <w:sz w:val="18"/>
          <w:szCs w:val="18"/>
        </w:rPr>
        <w:t>[6]</w:t>
        <w:tab/>
        <w:t xml:space="preserve">A. N. S. dos Santos et al., “Territórios dos ventos: geopolítica, impactos ambientais e desafios da energia eólica no Brasil,” </w:t>
      </w:r>
      <w:r>
        <w:rPr>
          <w:i/>
          <w:iCs/>
          <w:sz w:val="18"/>
          <w:szCs w:val="18"/>
        </w:rPr>
        <w:t>ARACÊ</w:t>
      </w:r>
      <w:r>
        <w:rPr>
          <w:sz w:val="18"/>
          <w:szCs w:val="18"/>
        </w:rPr>
        <w:t xml:space="preserve">, vol. 7, no. 6, pp. 29407–29458, 2025, doi: 10.56238/arev7n6-024.</w:t>
      </w:r>
    </w:p>
    <w:p w14:paraId="2C446B52" w14:textId="1D0209A2" w:rsidR="0090483D" w:rsidRPr="0097561A" w:rsidRDefault="0090483D" w:rsidP="0090483D">
      <w:pPr>
        <w:tabs>
          <w:tab w:val="left" w:pos="360"/>
        </w:tabs>
        <w:spacing w:after="20" w:line="220" w:lineRule="auto"/>
        <w:ind w:left="360" w:hanging="360"/>
        <w:rPr>
          <w:sz w:val="21"/>
          <w:szCs w:val="21"/>
        </w:rPr>
      </w:pPr>
      <w:r>
        <w:rPr>
          <w:sz w:val="18"/>
          <w:szCs w:val="18"/>
        </w:rPr>
        <w:t>[7]</w:t>
        <w:tab/>
        <w:t xml:space="preserve">A. Gorayeb et al., “Wind-energy development causes social impacts in coastal Ceará state, Brazil: The case of the Xavier community,” </w:t>
      </w:r>
      <w:r>
        <w:rPr>
          <w:i/>
          <w:iCs/>
          <w:sz w:val="18"/>
          <w:szCs w:val="18"/>
        </w:rPr>
        <w:t>J. Coastal Res.</w:t>
      </w:r>
      <w:r>
        <w:rPr>
          <w:sz w:val="18"/>
          <w:szCs w:val="18"/>
        </w:rPr>
        <w:t xml:space="preserve">, vol. 75, sp1, pp. 383–387, 2016, doi: 10.2112/SI75-077.1.</w:t>
      </w:r>
    </w:p>
    <w:p w14:paraId="57D5E3E8" w14:textId="72B44D41" w:rsidR="0090483D" w:rsidRPr="0097561A" w:rsidRDefault="0090483D" w:rsidP="0090483D">
      <w:pPr>
        <w:tabs>
          <w:tab w:val="left" w:pos="360"/>
        </w:tabs>
        <w:spacing w:after="20" w:line="220" w:lineRule="auto"/>
        <w:ind w:left="360" w:hanging="360"/>
        <w:rPr>
          <w:sz w:val="21"/>
          <w:szCs w:val="21"/>
        </w:rPr>
      </w:pPr>
      <w:r>
        <w:rPr>
          <w:sz w:val="18"/>
          <w:szCs w:val="18"/>
        </w:rPr>
        <w:lastRenderedPageBreak/>
        <w:t>[8]</w:t>
        <w:tab/>
        <w:t xml:space="preserve">D. R. F. da Silva, “Ventos de discórdia: território, energia eólica e conflitos socioambientais na zona costeira do Ceará,” M.S. thesis, Dept. Geography, Univ. Federal do Ceará, Fortaleza, Brazil, 2014. [Online]. Available: https://repositorio.ufc.br/handle/riufc/19972</w:t>
      </w:r>
    </w:p>
    <w:p w14:paraId="4395212F" w14:textId="70371512" w:rsidR="0090483D" w:rsidRPr="0097561A" w:rsidRDefault="0090483D" w:rsidP="0090483D">
      <w:pPr>
        <w:tabs>
          <w:tab w:val="left" w:pos="360"/>
        </w:tabs>
        <w:spacing w:after="20" w:line="220" w:lineRule="auto"/>
        <w:ind w:left="360" w:hanging="360"/>
        <w:rPr>
          <w:sz w:val="21"/>
          <w:szCs w:val="21"/>
        </w:rPr>
      </w:pPr>
      <w:r>
        <w:rPr>
          <w:sz w:val="18"/>
          <w:szCs w:val="18"/>
        </w:rPr>
        <w:t>[9]</w:t>
        <w:tab/>
        <w:t xml:space="preserve">R. J. S. Sampaio, “Transição energética justa frente à expansão das energias renováveis no semiárido nordestino: aspectos jurídicos e socioambientais dos conflitos sob a instalação de parques eólicos,” thesis, 2024. [Online]. Available: https://openalex.org/W7119428023</w:t>
      </w:r>
    </w:p>
    <w:p w14:paraId="4B26E31D" w14:textId="2F69C52E" w:rsidR="0090483D" w:rsidRPr="0097561A" w:rsidRDefault="0090483D" w:rsidP="0090483D">
      <w:pPr>
        <w:tabs>
          <w:tab w:val="left" w:pos="360"/>
        </w:tabs>
        <w:spacing w:after="20" w:line="220" w:lineRule="auto"/>
        <w:ind w:left="360" w:hanging="360"/>
        <w:rPr>
          <w:sz w:val="21"/>
          <w:szCs w:val="21"/>
        </w:rPr>
      </w:pPr>
      <w:r>
        <w:rPr>
          <w:sz w:val="18"/>
          <w:szCs w:val="18"/>
        </w:rPr>
        <w:t>[10]</w:t>
        <w:tab/>
        <w:t xml:space="preserve">I. Bojczuk, “Growing the cloud at the ‘corner of the Atlantic’: Fortaleza as a digital infrastructure hub amidst AI-renewable energy paradigms in Brazil,” in </w:t>
      </w:r>
      <w:r>
        <w:rPr>
          <w:i/>
          <w:iCs/>
          <w:sz w:val="18"/>
          <w:szCs w:val="18"/>
        </w:rPr>
        <w:t>Palgrave Studies in European Communication Research and Education</w:t>
      </w:r>
      <w:r>
        <w:rPr>
          <w:sz w:val="18"/>
          <w:szCs w:val="18"/>
        </w:rPr>
        <w:t xml:space="preserve">, 2026, pp. 73–96, doi: 10.1007/978-3-032-09748-4_4.</w:t>
      </w:r>
    </w:p>
    <w:p w14:paraId="2DE39D9D" w14:textId="2BA55E65" w:rsidR="0090483D" w:rsidRPr="0097561A" w:rsidRDefault="0090483D" w:rsidP="0090483D">
      <w:pPr>
        <w:tabs>
          <w:tab w:val="left" w:pos="360"/>
        </w:tabs>
        <w:spacing w:after="20" w:line="220" w:lineRule="auto"/>
        <w:ind w:left="360" w:hanging="360"/>
        <w:rPr>
          <w:sz w:val="21"/>
          <w:szCs w:val="21"/>
        </w:rPr>
      </w:pPr>
      <w:r>
        <w:rPr>
          <w:sz w:val="18"/>
          <w:szCs w:val="18"/>
        </w:rPr>
        <w:t>[11]</w:t>
        <w:tab/>
        <w:t xml:space="preserve">D. Brochado, “Data centers no Ceará,” </w:t>
      </w:r>
      <w:r>
        <w:rPr>
          <w:i/>
          <w:iCs/>
          <w:sz w:val="18"/>
          <w:szCs w:val="18"/>
        </w:rPr>
        <w:t xml:space="preserve">Revista Juridicidade Constitucional e Democracia</w:t>
      </w:r>
      <w:r>
        <w:rPr>
          <w:sz w:val="18"/>
          <w:szCs w:val="18"/>
        </w:rPr>
        <w:t xml:space="preserve">, vol. 3, no. 5, pp. 25–58, 2025, doi: 10.59776/2965-3290.2025.7630.</w:t>
      </w:r>
    </w:p>
    <w:p w14:paraId="10224DDB" w14:textId="178C1D1E" w:rsidR="0090483D" w:rsidRPr="0097561A" w:rsidRDefault="0090483D" w:rsidP="0090483D">
      <w:pPr>
        <w:tabs>
          <w:tab w:val="left" w:pos="360"/>
        </w:tabs>
        <w:spacing w:after="20" w:line="220" w:lineRule="auto"/>
        <w:ind w:left="360" w:hanging="360"/>
        <w:rPr>
          <w:sz w:val="21"/>
          <w:szCs w:val="21"/>
        </w:rPr>
      </w:pPr>
      <w:r>
        <w:rPr>
          <w:sz w:val="18"/>
          <w:szCs w:val="18"/>
        </w:rPr>
        <w:t>[12]</w:t>
        <w:tab/>
        <w:t xml:space="preserve">E. D. Cartwright, “The environmental justice and community impacts of data centers,” </w:t>
      </w:r>
      <w:r>
        <w:rPr>
          <w:i/>
          <w:iCs/>
          <w:sz w:val="18"/>
          <w:szCs w:val="18"/>
        </w:rPr>
        <w:t>Climate and Energy</w:t>
      </w:r>
      <w:r>
        <w:rPr>
          <w:sz w:val="18"/>
          <w:szCs w:val="18"/>
        </w:rPr>
        <w:t xml:space="preserve">, vol. 42, no. 7, pp. 15–17, 2026, doi: 10.1002/gas.70012.</w:t>
      </w:r>
    </w:p>
    <w:p w14:paraId="0F11786B" w14:textId="10F8661F" w:rsidR="0090483D" w:rsidRPr="0097561A" w:rsidRDefault="0090483D" w:rsidP="0090483D">
      <w:pPr>
        <w:tabs>
          <w:tab w:val="left" w:pos="360"/>
        </w:tabs>
        <w:spacing w:after="20" w:line="220" w:lineRule="auto"/>
        <w:ind w:left="360" w:hanging="360"/>
        <w:rPr>
          <w:sz w:val="21"/>
          <w:szCs w:val="21"/>
        </w:rPr>
      </w:pPr>
      <w:r>
        <w:rPr>
          <w:sz w:val="18"/>
          <w:szCs w:val="18"/>
        </w:rPr>
        <w:t>[13]</w:t>
        <w:tab/>
        <w:t xml:space="preserve">C. Young, “Clouds on the horizon: An integrative review of data centers and local governance in the United States,” </w:t>
      </w:r>
      <w:r>
        <w:rPr>
          <w:i/>
          <w:iCs/>
          <w:sz w:val="18"/>
          <w:szCs w:val="18"/>
        </w:rPr>
        <w:t>Oxford Open Energy</w:t>
      </w:r>
      <w:r>
        <w:rPr>
          <w:sz w:val="18"/>
          <w:szCs w:val="18"/>
        </w:rPr>
        <w:t xml:space="preserve">, vol. 5, 2026, doi: 10.1093/ooenergy/oiag006.</w:t>
      </w:r>
    </w:p>
    <w:p w14:paraId="2C455AA4" w14:textId="529A40D1" w:rsidR="0090483D" w:rsidRPr="0097561A" w:rsidRDefault="0090483D" w:rsidP="0090483D">
      <w:pPr>
        <w:tabs>
          <w:tab w:val="left" w:pos="360"/>
        </w:tabs>
        <w:spacing w:after="20" w:line="220" w:lineRule="auto"/>
        <w:ind w:left="360" w:hanging="360"/>
        <w:rPr>
          <w:sz w:val="21"/>
          <w:szCs w:val="21"/>
        </w:rPr>
      </w:pPr>
      <w:r>
        <w:rPr>
          <w:sz w:val="18"/>
          <w:szCs w:val="18"/>
        </w:rPr>
        <w:t>[14]</w:t>
        <w:tab/>
        <w:t xml:space="preserve">M. Martinez, G. Hsu, and T. Sengupta, “Environmental justice call and response: Transformative justice and the methods in resistance to data centers in the Great Lakes region,” working draft, SSRN, Feb. 2026, doi: 10.2139/ssrn.6233060.</w:t>
      </w:r>
    </w:p>
    <w:p w14:paraId="7BB32123" w14:textId="0510CE96" w:rsidR="0090483D" w:rsidRPr="0097561A" w:rsidRDefault="0090483D" w:rsidP="0090483D">
      <w:pPr>
        <w:tabs>
          <w:tab w:val="left" w:pos="360"/>
        </w:tabs>
        <w:spacing w:after="20" w:line="220" w:lineRule="auto"/>
        <w:ind w:left="360" w:hanging="360"/>
        <w:rPr>
          <w:sz w:val="21"/>
          <w:szCs w:val="21"/>
        </w:rPr>
      </w:pPr>
      <w:r>
        <w:rPr>
          <w:sz w:val="18"/>
          <w:szCs w:val="18"/>
        </w:rPr>
        <w:t>[15]</w:t>
        <w:tab/>
        <w:t xml:space="preserve">D. A. Ferraz and P. R. A. Viegas, “Data centers, energy and regulation: Legal and economic challenges for digital infrastructure in Brazil,” </w:t>
      </w:r>
      <w:r>
        <w:rPr>
          <w:i/>
          <w:iCs/>
          <w:sz w:val="18"/>
          <w:szCs w:val="18"/>
        </w:rPr>
        <w:t>ARACÊ</w:t>
      </w:r>
      <w:r>
        <w:rPr>
          <w:sz w:val="18"/>
          <w:szCs w:val="18"/>
        </w:rPr>
        <w:t xml:space="preserve">, vol. 8, no. 1, e11620, 2026, doi: 10.56238/arev8n1-016.</w:t>
      </w:r>
    </w:p>
    <w:p w14:paraId="220B3A92" w14:textId="4370AF74" w:rsidR="0090483D" w:rsidRPr="0097561A" w:rsidRDefault="0090483D" w:rsidP="0090483D">
      <w:pPr>
        <w:tabs>
          <w:tab w:val="left" w:pos="360"/>
        </w:tabs>
        <w:spacing w:after="20" w:line="220" w:lineRule="auto"/>
        <w:ind w:left="360" w:hanging="360"/>
        <w:rPr>
          <w:sz w:val="21"/>
          <w:szCs w:val="21"/>
        </w:rPr>
      </w:pPr>
      <w:r>
        <w:rPr>
          <w:sz w:val="18"/>
          <w:szCs w:val="18"/>
        </w:rPr>
        <w:t>[16]</w:t>
        <w:tab/>
        <w:t xml:space="preserve">Z. Revista, “Environmental impact of data centers in Brazil: A quantitative analysis of energy and water consumption in the context of the REDATA policy framework,” Zenodo, Feb. 14, 2026, doi: 10.5281/zenodo.18639445. [Preprint; authorship not independently verified.]</w:t>
      </w:r>
    </w:p>
    <w:p w14:paraId="23D2BA73" w14:textId="293A323C" w:rsidR="0090483D" w:rsidRPr="0097561A" w:rsidRDefault="0090483D" w:rsidP="0090483D">
      <w:pPr>
        <w:tabs>
          <w:tab w:val="left" w:pos="360"/>
        </w:tabs>
        <w:spacing w:after="20" w:line="220" w:lineRule="auto"/>
        <w:ind w:left="360" w:hanging="360"/>
        <w:rPr>
          <w:sz w:val="21"/>
          <w:szCs w:val="21"/>
        </w:rPr>
      </w:pPr>
      <w:r>
        <w:rPr>
          <w:sz w:val="18"/>
          <w:szCs w:val="18"/>
        </w:rPr>
        <w:t>[17]</w:t>
        <w:tab/>
        <w:t xml:space="preserve">Câmara dos Deputados, “Câmara aprova incentivo fiscal para investimentos em centros de processamento de dados,” Agência Câmara de Notícias, Feb. 25, 2026; and “Medida provisória busca impulsionar instalação de datacenters no Brasil,” Sept. 2025.</w:t>
      </w:r>
    </w:p>
    <w:p w14:paraId="66478539" w14:textId="50D67BB3" w:rsidR="0090483D" w:rsidRPr="0097561A" w:rsidRDefault="0090483D" w:rsidP="0090483D">
      <w:pPr>
        <w:tabs>
          <w:tab w:val="left" w:pos="360"/>
        </w:tabs>
        <w:spacing w:after="20" w:line="220" w:lineRule="auto"/>
        <w:ind w:left="360" w:hanging="360"/>
        <w:rPr>
          <w:sz w:val="21"/>
          <w:szCs w:val="21"/>
        </w:rPr>
      </w:pPr>
      <w:r>
        <w:rPr>
          <w:sz w:val="18"/>
          <w:szCs w:val="18"/>
        </w:rPr>
        <w:t>[18]</w:t>
        <w:tab/>
        <w:t xml:space="preserve">Ministério do Meio Ambiente e Mudança do Clima, “Consulta pública sobre regulamentação de regime especial para datacenters debate critérios e indicadores de sustentabilidade,” gov.br, Oct. 1, 2025.</w:t>
      </w:r>
    </w:p>
    <w:p w14:paraId="60CEC56E" w14:textId="73C5DB95" w:rsidR="0090483D" w:rsidRPr="0097561A" w:rsidRDefault="0090483D" w:rsidP="0090483D">
      <w:pPr>
        <w:tabs>
          <w:tab w:val="left" w:pos="360"/>
        </w:tabs>
        <w:spacing w:after="20" w:line="220" w:lineRule="auto"/>
        <w:ind w:left="360" w:hanging="360"/>
        <w:rPr>
          <w:sz w:val="21"/>
          <w:szCs w:val="21"/>
        </w:rPr>
      </w:pPr>
      <w:r>
        <w:rPr>
          <w:sz w:val="18"/>
          <w:szCs w:val="18"/>
        </w:rPr>
        <w:t>[19]</w:t>
        <w:tab/>
        <w:t>R. H. M. Pereira and C. N. Gonçalves, “geobr: Loads shapefiles of official spatial data sets of Brazil,” IPEA, 2019; prepared-data release v2.0.0. Boundaries © IBGE; conservation units © MMA/CNUC; indigenous lands © FUNAI.</w:t>
      </w:r>
    </w:p>
    <w:p w14:paraId="7778F21C" w14:textId="74FF1503" w:rsidR="0090483D" w:rsidRPr="0097561A" w:rsidRDefault="0090483D" w:rsidP="0090483D">
      <w:pPr>
        <w:tabs>
          <w:tab w:val="left" w:pos="360"/>
        </w:tabs>
        <w:spacing w:after="20" w:line="220" w:lineRule="auto"/>
        <w:ind w:left="360" w:hanging="360"/>
        <w:rPr>
          <w:sz w:val="21"/>
          <w:szCs w:val="21"/>
        </w:rPr>
      </w:pPr>
      <w:r>
        <w:rPr>
          <w:sz w:val="18"/>
          <w:szCs w:val="18"/>
        </w:rPr>
        <w:t>[20]</w:t>
        <w:tab/>
        <w:t xml:space="preserve">Operador Nacional do Sistema Elétrico, “Dados Abertos: subestação, linha de transmissão, capacidade de geração, geração por usina, carga de energia, balanço de energia,” dados.ons.org.br, accessed May 21, 2026.</w:t>
      </w:r>
    </w:p>
    <w:p w14:paraId="75ED249D" w14:textId="47F4F17F" w:rsidR="0090483D" w:rsidRPr="0097561A" w:rsidRDefault="0090483D" w:rsidP="0090483D">
      <w:pPr>
        <w:tabs>
          <w:tab w:val="left" w:pos="360"/>
        </w:tabs>
        <w:spacing w:after="20" w:line="220" w:lineRule="auto"/>
        <w:ind w:left="360" w:hanging="360"/>
        <w:rPr>
          <w:sz w:val="21"/>
          <w:szCs w:val="21"/>
        </w:rPr>
      </w:pPr>
      <w:r>
        <w:rPr>
          <w:sz w:val="18"/>
          <w:szCs w:val="18"/>
        </w:rPr>
        <w:t>[21]</w:t>
        <w:tab/>
        <w:t xml:space="preserve">Operador Nacional do Sistema Elétrico, “Restrição de operação por constrained-off de usinas eólicas e fotovoltaicas,” Dados Abertos, Oct. 2021–May 2026, accessed May 25, 2026.</w:t>
      </w:r>
    </w:p>
    <w:p w14:paraId="25A29266" w14:textId="54518B2A" w:rsidR="0090483D" w:rsidRPr="0097561A" w:rsidRDefault="0090483D" w:rsidP="0090483D">
      <w:pPr>
        <w:tabs>
          <w:tab w:val="left" w:pos="360"/>
        </w:tabs>
        <w:spacing w:after="20" w:line="220" w:lineRule="auto"/>
        <w:ind w:left="360" w:hanging="360"/>
        <w:rPr>
          <w:sz w:val="21"/>
          <w:szCs w:val="21"/>
        </w:rPr>
      </w:pPr>
      <w:r>
        <w:rPr>
          <w:sz w:val="18"/>
          <w:szCs w:val="18"/>
        </w:rPr>
        <w:t>[22]</w:t>
        <w:tab/>
        <w:t xml:space="preserve">Global Energy Monitor, Global Solar, Wind, Hydropower, Bioenergy, Oil and Gas, Coal, Nuclear, and Geothermal Power Trackers (Portal Energético workbook dated Mar. 24, 2026), CC BY 4.0.</w:t>
      </w:r>
    </w:p>
    <w:p w14:paraId="68D7142A" w14:textId="681F029C" w:rsidR="0090483D" w:rsidRPr="0097561A" w:rsidRDefault="0090483D" w:rsidP="0090483D">
      <w:pPr>
        <w:tabs>
          <w:tab w:val="left" w:pos="360"/>
        </w:tabs>
        <w:spacing w:after="20" w:line="220" w:lineRule="auto"/>
        <w:ind w:left="360" w:hanging="360"/>
        <w:rPr>
          <w:sz w:val="21"/>
          <w:szCs w:val="21"/>
        </w:rPr>
      </w:pPr>
      <w:r>
        <w:rPr>
          <w:sz w:val="18"/>
          <w:szCs w:val="18"/>
        </w:rPr>
        <w:t>[23]</w:t>
        <w:tab/>
        <w:t>PeeringDB, “Facility records, country = BR,” peeringdb.com, accessed May 25, 2026.</w:t>
      </w:r>
    </w:p>
    <w:p w14:paraId="1E2D898B" w14:textId="7E55AD9E" w:rsidR="0090483D" w:rsidRPr="0097561A" w:rsidRDefault="0090483D" w:rsidP="0090483D">
      <w:pPr>
        <w:tabs>
          <w:tab w:val="left" w:pos="360"/>
        </w:tabs>
        <w:spacing w:after="20" w:line="220" w:lineRule="auto"/>
        <w:ind w:left="360" w:hanging="360"/>
        <w:rPr>
          <w:sz w:val="21"/>
          <w:szCs w:val="21"/>
        </w:rPr>
      </w:pPr>
      <w:r>
        <w:rPr>
          <w:sz w:val="18"/>
          <w:szCs w:val="18"/>
        </w:rPr>
        <w:t>[24]</w:t>
        <w:tab/>
        <w:t xml:space="preserve">OpenStreetMap contributors, elements tagged telecom=data_center in Brazil, retrieved via the Overpass API, May 25, 2026. Data © OpenStreetMap contributors, ODbL 1.0.</w:t>
      </w:r>
    </w:p>
    <w:p w14:paraId="54025DC1" w14:textId="6AAD3B86" w:rsidR="0090483D" w:rsidRPr="0097561A" w:rsidRDefault="0090483D" w:rsidP="0090483D">
      <w:pPr>
        <w:tabs>
          <w:tab w:val="left" w:pos="360"/>
        </w:tabs>
        <w:spacing w:after="20" w:line="220" w:lineRule="auto"/>
        <w:ind w:left="360" w:hanging="360"/>
        <w:rPr>
          <w:sz w:val="21"/>
          <w:szCs w:val="21"/>
        </w:rPr>
      </w:pPr>
      <w:r>
        <w:rPr>
          <w:sz w:val="18"/>
          <w:szCs w:val="18"/>
        </w:rPr>
        <w:t>[25]</w:t>
        <w:tab/>
        <w:t>MapBiomas Project, “Collection of annual land use and land cover maps of Brazil, 2024,” 30 m, mapbiomas.org, CC BY 4.0.</w:t>
      </w:r>
    </w:p>
    <w:p w14:paraId="79D3A128" w14:textId="0676180D" w:rsidR="0090483D" w:rsidRDefault="0090483D" w:rsidP="0090483D">
      <w:pPr>
        <w:tabs>
          <w:tab w:val="left" w:pos="360"/>
        </w:tabs>
        <w:spacing w:after="20" w:line="220" w:lineRule="auto"/>
        <w:ind w:left="360" w:hanging="360"/>
        <w:rPr>
          <w:sz w:val="21"/>
          <w:szCs w:val="21"/>
        </w:rPr>
      </w:pPr>
      <w:r>
        <w:rPr>
          <w:sz w:val="18"/>
          <w:szCs w:val="18"/>
        </w:rPr>
        <w:t>[26]</w:t>
        <w:tab/>
        <w:t>European Space Agency, Copernicus Sentinel-1 GRD and Sentinel-2 Level-2A harmonized surface reflectance, 2021–2026. Contains modified Copernicus Sentinel data processed by ESA.</w:t>
      </w:r>
    </w:p>
    <w:p w14:paraId="46DA78E3" w14:textId="460001C3" w:rsidR="0090483D" w:rsidRPr="0097561A" w:rsidRDefault="0090483D" w:rsidP="0090483D">
      <w:pPr>
        <w:tabs>
          <w:tab w:val="left" w:pos="360"/>
        </w:tabs>
        <w:spacing w:after="20" w:line="220" w:lineRule="auto"/>
        <w:ind w:left="360" w:hanging="360"/>
        <w:rPr>
          <w:sz w:val="21"/>
          <w:szCs w:val="21"/>
        </w:rPr>
      </w:pPr>
      <w:r>
        <w:rPr>
          <w:sz w:val="18"/>
          <w:szCs w:val="18"/>
        </w:rPr>
        <w:t>[27]</w:t>
        <w:tab/>
        <w:t xml:space="preserve">N. Gorelick, M. Hancher, M. Dixon, S. Ilyushchenko, D. Thau, and R. Moore, “Google Earth Engine: Planetary-scale geospatial analysis for everyone,” </w:t>
      </w:r>
      <w:r>
        <w:rPr>
          <w:i/>
          <w:iCs/>
          <w:sz w:val="18"/>
          <w:szCs w:val="18"/>
        </w:rPr>
        <w:t>Remote Sens. Environ.</w:t>
      </w:r>
      <w:r>
        <w:rPr>
          <w:sz w:val="18"/>
          <w:szCs w:val="18"/>
        </w:rPr>
        <w:t>, vol. 202, pp. 18–27, 2017.</w:t>
      </w:r>
    </w:p>
    <w:p w14:paraId="465C71F5" w14:textId="6B9A51BF" w:rsidR="0090483D" w:rsidRPr="0097561A" w:rsidRDefault="0090483D" w:rsidP="0090483D">
      <w:pPr>
        <w:tabs>
          <w:tab w:val="left" w:pos="360"/>
        </w:tabs>
        <w:spacing w:after="20" w:line="220" w:lineRule="auto"/>
        <w:ind w:left="360" w:hanging="360"/>
        <w:rPr>
          <w:sz w:val="21"/>
          <w:szCs w:val="21"/>
        </w:rPr>
      </w:pPr>
      <w:r>
        <w:rPr>
          <w:sz w:val="18"/>
          <w:szCs w:val="18"/>
        </w:rPr>
        <w:t>[28]</w:t>
        <w:tab/>
        <w:t>Uber Technologies, “H3: Hexagonal hierarchical geospatial indexing system,” h3geo.org, Apache 2.0.</w:t>
      </w:r>
    </w:p>
    <w:p w14:paraId="638CA782" w14:textId="7CCAB184" w:rsidR="0090483D" w:rsidRPr="0097561A" w:rsidRDefault="0090483D" w:rsidP="0090483D">
      <w:pPr>
        <w:tabs>
          <w:tab w:val="left" w:pos="360"/>
        </w:tabs>
        <w:spacing w:after="20" w:line="220" w:lineRule="auto"/>
        <w:ind w:left="360" w:hanging="360"/>
        <w:rPr>
          <w:sz w:val="21"/>
          <w:szCs w:val="21"/>
        </w:rPr>
      </w:pPr>
      <w:r>
        <w:rPr>
          <w:sz w:val="18"/>
          <w:szCs w:val="18"/>
        </w:rPr>
        <w:t>[29]</w:t>
        <w:tab/>
        <w:t xml:space="preserve">G. Smith, “brazil-dc: Sovereign Compute Nexus,” GitHub repository and interactive explorer, 2026. [Online]. Available: https://github.com/giasmith/brazil-dc</w:t>
      </w:r>
    </w:p>
    <w:p w14:paraId="26030876" w14:textId="52F5B00C" w:rsidR="0090483D" w:rsidRPr="0097561A" w:rsidRDefault="0090483D" w:rsidP="0090483D">
      <w:pPr>
        <w:tabs>
          <w:tab w:val="left" w:pos="360"/>
        </w:tabs>
        <w:spacing w:after="20" w:line="220" w:lineRule="auto"/>
        <w:ind w:left="360" w:hanging="360"/>
        <w:rPr>
          <w:sz w:val="21"/>
          <w:szCs w:val="21"/>
        </w:rPr>
      </w:pPr>
      <w:r>
        <w:rPr>
          <w:sz w:val="18"/>
          <w:szCs w:val="18"/>
        </w:rPr>
        <w:t>[30]</w:t>
        <w:tab/>
        <w:t xml:space="preserve">G. Rediske et al., “Multi-criteria decision-making model for assessment of large photovoltaic farms in Brazil,” </w:t>
      </w:r>
      <w:r>
        <w:rPr>
          <w:i/>
          <w:iCs/>
          <w:sz w:val="18"/>
          <w:szCs w:val="18"/>
        </w:rPr>
        <w:t>Energy</w:t>
      </w:r>
      <w:r>
        <w:rPr>
          <w:sz w:val="18"/>
          <w:szCs w:val="18"/>
        </w:rPr>
        <w:t xml:space="preserve">, vol. 197, 117167, 2020, doi: 10.1016/j.energy.2020.117167.</w:t>
      </w:r>
    </w:p>
    <w:p w14:paraId="5D684F5D" w14:textId="70A5C26C" w:rsidR="0090483D" w:rsidRPr="0097561A" w:rsidRDefault="0090483D" w:rsidP="0090483D">
      <w:pPr>
        <w:tabs>
          <w:tab w:val="left" w:pos="360"/>
        </w:tabs>
        <w:spacing w:after="20" w:line="220" w:lineRule="auto"/>
        <w:ind w:left="360" w:hanging="360"/>
        <w:rPr>
          <w:sz w:val="21"/>
          <w:szCs w:val="21"/>
        </w:rPr>
      </w:pPr>
      <w:r>
        <w:rPr>
          <w:sz w:val="18"/>
          <w:szCs w:val="18"/>
        </w:rPr>
        <w:t>[31]</w:t>
        <w:tab/>
        <w:t xml:space="preserve">L. Garbellini et al., “Spatial multi-criteria decision-making for onshore wind farm site selection in Brazil,” </w:t>
      </w:r>
      <w:r>
        <w:rPr>
          <w:i/>
          <w:iCs/>
          <w:sz w:val="18"/>
          <w:szCs w:val="18"/>
        </w:rPr>
        <w:t>Trans. Energy Sustain.</w:t>
      </w:r>
      <w:r>
        <w:rPr>
          <w:sz w:val="18"/>
          <w:szCs w:val="18"/>
        </w:rPr>
        <w:t xml:space="preserve">, vol. 2, no. 2, pp. 115–139, 2026, doi: 10.1177/29768632261445736 (preprint 2024, doi: 10.21203/rs.3.rs-5137163/v1).</w:t>
      </w:r>
    </w:p>
    <w:p w14:paraId="05B97AFB" w14:textId="58F18C5E" w:rsidR="0090483D" w:rsidRPr="0097561A" w:rsidRDefault="0090483D" w:rsidP="0090483D">
      <w:pPr>
        <w:tabs>
          <w:tab w:val="left" w:pos="360"/>
        </w:tabs>
        <w:spacing w:after="20" w:line="220" w:lineRule="auto"/>
        <w:ind w:left="360" w:hanging="360"/>
        <w:rPr>
          <w:sz w:val="21"/>
          <w:szCs w:val="21"/>
        </w:rPr>
      </w:pPr>
      <w:r>
        <w:rPr>
          <w:sz w:val="18"/>
          <w:szCs w:val="18"/>
        </w:rPr>
        <w:t>[32]</w:t>
        <w:tab/>
        <w:t xml:space="preserve">E. Chiarani et al., “Optimal site selection using GIS-based multi-criteria decision analysis (MCDA): A case study of concentrated solar power plants in Brazil,” </w:t>
      </w:r>
      <w:r>
        <w:rPr>
          <w:i/>
          <w:iCs/>
          <w:sz w:val="18"/>
          <w:szCs w:val="18"/>
        </w:rPr>
        <w:t xml:space="preserve">Anuário do Instituto de Geociências</w:t>
      </w:r>
      <w:r>
        <w:rPr>
          <w:sz w:val="18"/>
          <w:szCs w:val="18"/>
        </w:rPr>
        <w:t xml:space="preserve">, vol. 46, 2023, doi: 10.11137/1982-3908_2023_46_48188.</w:t>
      </w:r>
    </w:p>
    <w:p w14:paraId="37AF9AA5" w14:textId="10F72068" w:rsidR="0090483D" w:rsidRPr="0097561A" w:rsidRDefault="0090483D" w:rsidP="0090483D">
      <w:pPr>
        <w:tabs>
          <w:tab w:val="left" w:pos="360"/>
        </w:tabs>
        <w:spacing w:after="20" w:line="220" w:lineRule="auto"/>
        <w:ind w:left="360" w:hanging="360"/>
        <w:rPr>
          <w:sz w:val="21"/>
          <w:szCs w:val="21"/>
        </w:rPr>
      </w:pPr>
      <w:r>
        <w:rPr>
          <w:sz w:val="18"/>
          <w:szCs w:val="18"/>
        </w:rPr>
        <w:t>[33]</w:t>
        <w:tab/>
        <w:t xml:space="preserve">R. D. F. de Godoy, R. de C. Macedo, and N. B. da Luz, “Overlap between conservation units and traditional territories: Socio-environmental implications,” </w:t>
      </w:r>
      <w:r>
        <w:rPr>
          <w:i/>
          <w:iCs/>
          <w:sz w:val="18"/>
          <w:szCs w:val="18"/>
        </w:rPr>
        <w:t xml:space="preserve">Raega – O Espaço Geográfico em Análise</w:t>
      </w:r>
      <w:r>
        <w:rPr>
          <w:sz w:val="18"/>
          <w:szCs w:val="18"/>
        </w:rPr>
        <w:t xml:space="preserve">, vol. 65, no. 1, pp. 199–224, 2026, doi: 10.5380/raega.v65i1.103532.</w:t>
      </w:r>
    </w:p>
    <w:p w14:paraId="66CC6CE7" w14:textId="4AD5C66B" w:rsidR="0090483D" w:rsidRPr="0097561A" w:rsidRDefault="0090483D" w:rsidP="0090483D">
      <w:pPr>
        <w:tabs>
          <w:tab w:val="left" w:pos="360"/>
        </w:tabs>
        <w:spacing w:after="20" w:line="220" w:lineRule="auto"/>
        <w:ind w:left="360" w:hanging="360"/>
        <w:rPr>
          <w:sz w:val="21"/>
          <w:szCs w:val="21"/>
        </w:rPr>
      </w:pPr>
      <w:r>
        <w:rPr>
          <w:sz w:val="18"/>
          <w:szCs w:val="18"/>
        </w:rPr>
        <w:t>[34]</w:t>
        <w:tab/>
        <w:t xml:space="preserve">Brasil, Constituição da República Federativa do Brasil de 1988, arts. 225 and 231; Lei nº 14.701, de 20 de outubro de 2023; Decreto nº 10.088/2019 (ILO Convention 169).</w:t>
      </w:r>
    </w:p>
    <w:p w14:paraId="5417FCD8" w14:textId="2248E6D3" w:rsidR="00E34954" w:rsidRDefault="0090483D" w:rsidP="00990BF4">
      <w:pPr>
        <w:rPr>
          <w:sz w:val="18"/>
          <w:szCs w:val="18"/>
        </w:rPr>
      </w:pPr>
      <w:r>
        <w:rPr>
          <w:sz w:val="18"/>
          <w:szCs w:val="18"/>
        </w:rPr>
        <w:t xml:space="preserve">[35] Brasil, Lei nº 9.985, de 18 de julho de 2000 (SNUC); Lei nº 6.938/1981; Lei Complementar nº 140/2011; Resolução CONAMA nº 428/2010.</w:t>
      </w:r>
    </w:p>
    <w:p w14:paraId="5047340A" w14:textId="691C78B9" w:rsidR="00E34954" w:rsidRPr="00E34954" w:rsidRDefault="00E34954" w:rsidP="00E34954">
      <w:pPr>
        <w:tabs>
          <w:tab w:val="left" w:pos="360"/>
        </w:tabs>
        <w:spacing w:after="20" w:line="220" w:lineRule="auto"/>
        <w:ind w:left="360" w:hanging="360"/>
        <w:rPr>
          <w:sz w:val="18"/>
          <w:szCs w:val="18"/>
        </w:rPr>
      </w:pPr>
      <w:r>
        <w:rPr>
          <w:b/>
          <w:bCs/>
          <w:smallCaps/>
          <w:sz w:val="18"/>
          <w:szCs w:val="18"/>
        </w:rPr>
        <w:t>[</w:t>
      </w:r>
      <w:r>
        <w:rPr>
          <w:sz w:val="18"/>
          <w:szCs w:val="18"/>
        </w:rPr>
        <w:t xml:space="preserve">36] F. Butschek, J. L. Peters, T. Remmers, J. Murphy, and A. J. Wheeler, “Geospatial dimensions of the renewable energy transition—The importance of prioritisation,” Environmental Innovation and Societal Transitions, vol. 47, Art. no. 100713, 2023, doi: 10.1016/j.eist.2023.100713.</w:t>
      </w:r>
    </w:p>
    <w:p w14:paraId="56A4342E" w14:textId="5D3ABFB2" w:rsidR="00E34954" w:rsidRPr="00E34954" w:rsidRDefault="00E34954" w:rsidP="00E34954">
      <w:pPr>
        <w:tabs>
          <w:tab w:val="left" w:pos="360"/>
        </w:tabs>
        <w:spacing w:after="20" w:line="220" w:lineRule="auto"/>
        <w:ind w:left="360" w:hanging="360"/>
        <w:rPr>
          <w:sz w:val="18"/>
          <w:szCs w:val="18"/>
        </w:rPr>
      </w:pPr>
      <w:r>
        <w:rPr>
          <w:sz w:val="18"/>
          <w:szCs w:val="18"/>
        </w:rPr>
        <w:lastRenderedPageBreak/>
        <w:t xml:space="preserve">[37] G. Boeing et al., “Using open data and open-source software to develop spatial indicators of urban design and transport features for achieving healthy and sustainable cities,” The Lancet Global Health, vol. 10, no. 6, pp. e907–e918, 2022, doi: 10.1016/S2214-109X(22)00072-9.</w:t>
      </w:r>
    </w:p>
    <w:p w14:paraId="7472ACAA" w14:textId="6E0C1749" w:rsidR="00E34954" w:rsidRPr="00E34954" w:rsidRDefault="00E34954" w:rsidP="00E34954">
      <w:pPr>
        <w:tabs>
          <w:tab w:val="left" w:pos="360"/>
        </w:tabs>
        <w:spacing w:after="20" w:line="220" w:lineRule="auto"/>
        <w:ind w:left="360" w:hanging="360"/>
        <w:rPr>
          <w:sz w:val="18"/>
          <w:szCs w:val="18"/>
        </w:rPr>
      </w:pPr>
      <w:r>
        <w:rPr>
          <w:sz w:val="18"/>
          <w:szCs w:val="18"/>
        </w:rPr>
        <w:t xml:space="preserve">[38] R. Rodela, “Decision support for inclusive spatial planning in the European geographical context,” Planning Practice &amp; Research, vol. 40, no. 2, pp. 406–420, 2025, doi: 10.1080/02697459.2025.2459975.</w:t>
      </w:r>
    </w:p>
    <w:p w14:paraId="4A9D4819" w14:textId="7B98251C" w:rsidR="0090483D" w:rsidRPr="0090483D" w:rsidRDefault="00E34954" w:rsidP="00C5124C">
      <w:pPr>
        <w:tabs>
          <w:tab w:val="left" w:pos="360"/>
        </w:tabs>
        <w:spacing w:after="20" w:line="220" w:lineRule="auto"/>
        <w:ind w:left="360" w:hanging="360"/>
        <w:rPr>
          <w:sz w:val="18"/>
          <w:szCs w:val="18"/>
        </w:rPr>
        <w:sectPr w:rsidR="0090483D" w:rsidRPr="0090483D" w:rsidSect="00230C58">
          <w:type w:val="continuous"/>
          <w:pgSz w:w="12240" w:h="15840"/>
          <w:pgMar w:top="1440" w:right="1440" w:bottom="1440" w:left="1440" w:header="708" w:footer="708" w:gutter="0"/>
          <w:cols w:space="720"/>
          <w:docGrid w:linePitch="360"/>
        </w:sectPr>
      </w:pPr>
      <w:r>
        <w:rPr>
          <w:sz w:val="18"/>
          <w:szCs w:val="18"/>
        </w:rPr>
        <w:t xml:space="preserve">[39] J. E. Gonçalves et al., “Spatial justice in participatory planning: An integrated framework and lessons from practice,” Frontiers in Sustainable Cities, vol. 7, Art. no. 1656745, 2025, doi: 10.3389/frsc.2025.1656745</w:t>
      </w:r>
    </w:p>
    <w:p w14:paraId="268B0761" w14:textId="79D96AA8" w:rsidR="002E4AD9" w:rsidRPr="0097561A" w:rsidRDefault="002E4AD9" w:rsidP="00585CAC">
      <w:pPr>
        <w:tabs>
          <w:tab w:val="left" w:pos="360"/>
        </w:tabs>
        <w:spacing w:after="20" w:line="220" w:lineRule="auto"/>
        <w:rPr>
          <w:sz w:val="21"/>
          <w:szCs w:val="21"/>
        </w:rPr>
      </w:pPr>
    </w:p>
    <w:sectPr w:rsidR="002E4AD9" w:rsidRPr="0097561A" w:rsidSect="00230C58">
      <w:type w:val="continuous"/>
      <w:pgSz w:w="12240" w:h="15840"/>
      <w:pgMar w:top="1440" w:right="1440" w:bottom="1440" w:left="144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F319BB"/>
    <w:multiLevelType w:val="hybridMultilevel"/>
    <w:tmpl w:val="8CD42F90"/>
    <w:lvl w:ilvl="0" w:tplc="00DAFA0C">
      <w:start w:val="1"/>
      <w:numFmt w:val="bullet"/>
      <w:lvlText w:val="●"/>
      <w:lvlJc w:val="left"/>
      <w:pPr>
        <w:ind w:left="720" w:hanging="360"/>
      </w:pPr>
    </w:lvl>
    <w:lvl w:ilvl="1" w:tplc="26423A22">
      <w:start w:val="1"/>
      <w:numFmt w:val="bullet"/>
      <w:lvlText w:val="○"/>
      <w:lvlJc w:val="left"/>
      <w:pPr>
        <w:ind w:left="1440" w:hanging="360"/>
      </w:pPr>
    </w:lvl>
    <w:lvl w:ilvl="2" w:tplc="880A84CC">
      <w:start w:val="1"/>
      <w:numFmt w:val="bullet"/>
      <w:lvlText w:val="■"/>
      <w:lvlJc w:val="left"/>
      <w:pPr>
        <w:ind w:left="2160" w:hanging="360"/>
      </w:pPr>
    </w:lvl>
    <w:lvl w:ilvl="3" w:tplc="0CD83AE2">
      <w:start w:val="1"/>
      <w:numFmt w:val="bullet"/>
      <w:lvlText w:val="●"/>
      <w:lvlJc w:val="left"/>
      <w:pPr>
        <w:ind w:left="2880" w:hanging="360"/>
      </w:pPr>
    </w:lvl>
    <w:lvl w:ilvl="4" w:tplc="782A810C">
      <w:start w:val="1"/>
      <w:numFmt w:val="bullet"/>
      <w:lvlText w:val="○"/>
      <w:lvlJc w:val="left"/>
      <w:pPr>
        <w:ind w:left="3600" w:hanging="360"/>
      </w:pPr>
    </w:lvl>
    <w:lvl w:ilvl="5" w:tplc="181C6784">
      <w:start w:val="1"/>
      <w:numFmt w:val="bullet"/>
      <w:lvlText w:val="■"/>
      <w:lvlJc w:val="left"/>
      <w:pPr>
        <w:ind w:left="4320" w:hanging="360"/>
      </w:pPr>
    </w:lvl>
    <w:lvl w:ilvl="6" w:tplc="8B0CE11C">
      <w:start w:val="1"/>
      <w:numFmt w:val="bullet"/>
      <w:lvlText w:val="●"/>
      <w:lvlJc w:val="left"/>
      <w:pPr>
        <w:ind w:left="5040" w:hanging="360"/>
      </w:pPr>
    </w:lvl>
    <w:lvl w:ilvl="7" w:tplc="74543B52">
      <w:start w:val="1"/>
      <w:numFmt w:val="bullet"/>
      <w:lvlText w:val="●"/>
      <w:lvlJc w:val="left"/>
      <w:pPr>
        <w:ind w:left="5760" w:hanging="360"/>
      </w:pPr>
    </w:lvl>
    <w:lvl w:ilvl="8" w:tplc="256ABCEE">
      <w:start w:val="1"/>
      <w:numFmt w:val="bullet"/>
      <w:lvlText w:val="●"/>
      <w:lvlJc w:val="left"/>
      <w:pPr>
        <w:ind w:left="6480" w:hanging="360"/>
      </w:pPr>
    </w:lvl>
  </w:abstractNum>
  <w:num w:numId="1" w16cid:durableId="4433093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AD9"/>
    <w:rsid w:val="00003CBF"/>
    <w:rsid w:val="000A2FE6"/>
    <w:rsid w:val="000B7093"/>
    <w:rsid w:val="000D5CB3"/>
    <w:rsid w:val="00112A2D"/>
    <w:rsid w:val="00161E02"/>
    <w:rsid w:val="00166D6A"/>
    <w:rsid w:val="0019720E"/>
    <w:rsid w:val="001D1359"/>
    <w:rsid w:val="00230C58"/>
    <w:rsid w:val="002839CF"/>
    <w:rsid w:val="002E4AD9"/>
    <w:rsid w:val="00352939"/>
    <w:rsid w:val="00430D39"/>
    <w:rsid w:val="004C435D"/>
    <w:rsid w:val="00585CAC"/>
    <w:rsid w:val="005C3768"/>
    <w:rsid w:val="005C5E9D"/>
    <w:rsid w:val="005D5108"/>
    <w:rsid w:val="00624956"/>
    <w:rsid w:val="00655947"/>
    <w:rsid w:val="00691260"/>
    <w:rsid w:val="006B5D60"/>
    <w:rsid w:val="007260D4"/>
    <w:rsid w:val="00781B81"/>
    <w:rsid w:val="0088479D"/>
    <w:rsid w:val="0090483D"/>
    <w:rsid w:val="00931FAD"/>
    <w:rsid w:val="0097561A"/>
    <w:rsid w:val="00990BF4"/>
    <w:rsid w:val="00991310"/>
    <w:rsid w:val="00A46395"/>
    <w:rsid w:val="00A800F3"/>
    <w:rsid w:val="00AC1970"/>
    <w:rsid w:val="00B4505F"/>
    <w:rsid w:val="00B83D99"/>
    <w:rsid w:val="00B85EDC"/>
    <w:rsid w:val="00BE1DBE"/>
    <w:rsid w:val="00C5124C"/>
    <w:rsid w:val="00C81A10"/>
    <w:rsid w:val="00CE7128"/>
    <w:rsid w:val="00CE7BC5"/>
    <w:rsid w:val="00DC0B2E"/>
    <w:rsid w:val="00E02F33"/>
    <w:rsid w:val="00E32651"/>
    <w:rsid w:val="00E34954"/>
    <w:rsid w:val="00E429FE"/>
    <w:rsid w:val="00F03860"/>
    <w:rsid w:val="00F50985"/>
    <w:rsid w:val="00FA2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FF47"/>
  <w15:docId w15:val="{84CC970A-D1CD-4E47-815F-76B707EC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text-token-text-primary">
    <w:name w:val="text-token-text-primary"/>
    <w:basedOn w:val="DefaultParagraphFont"/>
    <w:rsid w:val="00E34954"/>
  </w:style>
  <w:style w:type="paragraph" w:styleId="Caption">
    <w:name w:val="caption"/>
    <w:basedOn w:val="Normal"/>
    <w:next w:val="Normal"/>
    <w:uiPriority w:val="35"/>
    <w:unhideWhenUsed/>
    <w:qFormat/>
    <w:rsid w:val="001D1359"/>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C81A10"/>
    <w:rPr>
      <w:color w:val="605E5C"/>
      <w:shd w:val="clear" w:color="auto" w:fill="E1DFDD"/>
    </w:rPr>
  </w:style>
  <w:style w:type="character" w:styleId="Emphasis">
    <w:name w:val="Emphasis"/>
    <w:basedOn w:val="DefaultParagraphFont"/>
    <w:uiPriority w:val="20"/>
    <w:qFormat/>
    <w:rsid w:val="00C81A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12.senado.leg.br/noticias/materias/2026/09/0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3538</Words>
  <Characters>20170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ReData as Siting Policy</vt:lpstr>
    </vt:vector>
  </TitlesOfParts>
  <Company/>
  <LinksUpToDate>false</LinksUpToDate>
  <CharactersWithSpaces>23661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ReData as Siting Policy</dc:title>
  <dc:creator>Gia Smith</dc:creator>
  <cp:lastModifiedBy>Smith, Gia N (nqj5zk)</cp:lastModifiedBy>
  <cp:revision>44</cp:revision>
  <cp:lastPrinted>2026-09-15T21:27:00Z</cp:lastPrinted>
  <dcterms:created xsi:type="dcterms:W3CDTF">2026-09-16T15:52:00Z</dcterms:created>
  <dcterms:modified xsi:type="dcterms:W3CDTF">2026-09-16T19:09:00Z</dcterms:modified>
</cp:coreProperties>
</file>