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lineRule="auto"/>
        <w:ind w:firstLine="0"/>
        <w:jc w:val="center"/>
      </w:pPr>
      <w:r>
        <w:rPr>
          <w:rFonts w:ascii="Times New Roman" w:cs="Times New Roman" w:eastAsia="Times New Roman" w:hAnsi="Times New Roman"/>
          <w:sz w:val="44"/>
          <w:szCs w:val="44"/>
        </w:rPr>
        <w:t xml:space="preserve">Siting Data Centers for the ReData Era: A Constraint-First Snapshot of Brazil’s Grid, Land, and Policy Layers</w:t>
      </w:r>
    </w:p>
    <w:p>
      <w:pPr>
        <w:spacing w:after="0" w:before="0" w:line="240" w:lineRule="auto"/>
        <w:ind w:firstLine="0"/>
        <w:jc w:val="center"/>
      </w:pPr>
      <w:r>
        <w:rPr>
          <w:rFonts w:ascii="Times New Roman" w:cs="Times New Roman" w:eastAsia="Times New Roman" w:hAnsi="Times New Roman"/>
          <w:sz w:val="22"/>
          <w:szCs w:val="22"/>
        </w:rPr>
        <w:t xml:space="preserve">Gia Smith</w:t>
      </w:r>
    </w:p>
    <w:p>
      <w:pPr>
        <w:spacing w:after="0" w:before="0" w:line="240" w:lineRule="auto"/>
        <w:ind w:firstLine="0"/>
        <w:jc w:val="center"/>
      </w:pPr>
      <w:r>
        <w:rPr>
          <w:rFonts w:ascii="Times New Roman" w:cs="Times New Roman" w:eastAsia="Times New Roman" w:hAnsi="Times New Roman"/>
          <w:sz w:val="20"/>
          <w:szCs w:val="20"/>
        </w:rPr>
        <w:t xml:space="preserve">University of Virginia, Charlottesville, VA, USA</w:t>
      </w:r>
    </w:p>
    <w:p>
      <w:pPr>
        <w:spacing w:after="240" w:before="0" w:line="240" w:lineRule="auto"/>
        <w:ind w:firstLine="0"/>
        <w:jc w:val="center"/>
      </w:pPr>
      <w:r>
        <w:rPr>
          <w:rFonts w:ascii="Times New Roman" w:cs="Times New Roman" w:eastAsia="Times New Roman" w:hAnsi="Times New Roman"/>
          <w:i/>
          <w:iCs/>
          <w:sz w:val="18"/>
          <w:szCs w:val="18"/>
        </w:rPr>
        <w:t xml:space="preserve">[co-authors and contact to be added]</w:t>
      </w:r>
    </w:p>
    <w:p>
      <w:pPr>
        <w:sectPr>
          <w:pgSz w:w="12240" w:h="15840" w:orient="portrait"/>
          <w:pgMar w:top="1080" w:right="900" w:bottom="1296" w:left="900" w:header="708" w:footer="708" w:gutter="0"/>
          <w:pgNumType/>
          <w:docGrid w:linePitch="360"/>
        </w:sectPr>
      </w:pPr>
    </w:p>
    <w:p>
      <w:pPr>
        <w:spacing w:after="80" w:before="0" w:line="240" w:lineRule="auto"/>
        <w:ind w:firstLine="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Brazil’s special taxation regime for data-center services (ReData) ties federal tax relief to clean or renewable power, a cooling water-efficiency ceiling, and reserved domestic capacity, and it discounts those conditions for the North, Northeast, and Center-West. The international hyperscalers and domestic colocation operators that would use the regime need, in turn, gigawatt-scale interconnection, fiber, and land free of legal conflict. This paper states the goal of the Sovereign Compute Nexus project, catalogs the datasets it joins onto a hexagonal decision grid with their sources and pull dates (May 21–28, 2026, plus a September 2026 facility inventory), and reports what the snapshot teaches. Curtailed wind and solar energy is concentrated in the Northeast while data-center capacity is concentrated in the Southeast; the binding constraint on closing that gap is transmission rather than generation; and within a 50 km × 50 km Ceará case-study box, 819 of 2,808 cells survive the hard constraints, 448 form the Pareto frontier, and 25 are recommended, 10 of which require boundary review.</w:t>
      </w:r>
    </w:p>
    <w:p>
      <w:pPr>
        <w:spacing w:after="120" w:before="0" w:line="240" w:lineRule="auto"/>
        <w:ind w:firstLine="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Brazil, curtailment, data centers, H3 grid, Pareto optimization, ReData, remote sensing, site selection, transmission.</w:t>
      </w:r>
    </w:p>
    <w:p>
      <w:pPr>
        <w:keepNext/>
        <w:spacing w:after="80" w:before="200" w:line="240" w:lineRule="auto"/>
        <w:ind w:firstLine="0"/>
        <w:jc w:val="center"/>
      </w:pPr>
      <w:r>
        <w:rPr>
          <w:rFonts w:ascii="Times New Roman" w:cs="Times New Roman" w:eastAsia="Times New Roman" w:hAnsi="Times New Roman"/>
          <w:smallCaps/>
          <w:sz w:val="20"/>
          <w:szCs w:val="20"/>
        </w:rPr>
        <w:t xml:space="preserve">I. Goal</w:t>
      </w:r>
    </w:p>
    <w:p>
      <w:pPr>
        <w:spacing w:after="0" w:before="0" w:line="240" w:lineRule="auto"/>
        <w:ind w:firstLine="200"/>
        <w:jc w:val="both"/>
      </w:pPr>
      <w:r>
        <w:rPr>
          <w:rFonts w:ascii="Times New Roman" w:cs="Times New Roman" w:eastAsia="Times New Roman" w:hAnsi="Times New Roman"/>
          <w:sz w:val="20"/>
          <w:szCs w:val="20"/>
        </w:rPr>
        <w:t xml:space="preserve">The project asks one question: where in Brazil can new data-center capacity be sited so that it (i) qualifies under ReData’s energy and water conditions, (ii) meets the physical requirements of the operators that would build it, and (iii) avoids protected land, indigenous land, and policy conflict, and can that answer be produced reproducibly from public data? The deliverable is a constraint-first screening model on the H3 grid at resolution 8 (cells of about 0.74 km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demonstrated on a 50 km × 50 km box on the Ceará coast centered at 3.56° S, 38.82° W (the Pecém industrial port) and paired with a 27-state screen. Every input is public, every script is in the repository [16], and the interactive explorer reproduces the published run.</w:t>
      </w:r>
    </w:p>
    <w:p>
      <w:pPr>
        <w:keepNext/>
        <w:spacing w:after="40" w:before="120" w:line="240" w:lineRule="auto"/>
        <w:ind w:firstLine="0"/>
        <w:jc w:val="left"/>
      </w:pPr>
      <w:r>
        <w:rPr>
          <w:rFonts w:ascii="Times New Roman" w:cs="Times New Roman" w:eastAsia="Times New Roman" w:hAnsi="Times New Roman"/>
          <w:i/>
          <w:iCs/>
          <w:sz w:val="20"/>
          <w:szCs w:val="20"/>
        </w:rPr>
        <w:t xml:space="preserve">A. ReData Sets the Policy Frame</w:t>
      </w:r>
    </w:p>
    <w:p>
      <w:pPr>
        <w:spacing w:after="0" w:before="0" w:line="240" w:lineRule="auto"/>
        <w:ind w:firstLine="200"/>
        <w:jc w:val="both"/>
      </w:pPr>
      <w:r>
        <w:rPr>
          <w:rFonts w:ascii="Times New Roman" w:cs="Times New Roman" w:eastAsia="Times New Roman" w:hAnsi="Times New Roman"/>
          <w:sz w:val="20"/>
          <w:szCs w:val="20"/>
        </w:rPr>
        <w:t xml:space="preserve">ReData was created by Provisional Measure 1,318 of September 17, 2025 [1], approved by the Chamber of Deputies on February 25, 2026 [2], and approved by the Senate as Bill 278/2026 on September 1, 2026; it now awaits presidential sanction [3]. The regime suspends federal taxes on servers, storage, network, and cooling equipment for five years, converting to exemption when the project is completed. In exchange, a beneficiary must supply its electricity through contracts or self-production from clean or renewable sources, keep the cooling water-efficiency index at or below 0.05 liters per kWh measured annually, reserve at least 10% of processing capacity for the Brazilian market, and invest 2% of equipment value in domestic research and development. Projects in the North, Northeast, and Center-West face lighter counterparts (8% and 1.6%) and receive 40% of the associated digital-economy funding [3]. The Ministry of Mines and Energy frames the regime as a way to absorb curtailed renewable generation by siting load near it [4], and the environment ministry opened a consultation on sustainability indicators on October 1, 2025 [5]. ReData is therefore a siting policy as much as a tax instrument: it rewards locations where clean supply, water efficiency, and regional decentralization coincide.</w:t>
      </w:r>
    </w:p>
    <w:p>
      <w:pPr>
        <w:keepNext/>
        <w:spacing w:after="40" w:before="120" w:line="240" w:lineRule="auto"/>
        <w:ind w:firstLine="0"/>
        <w:jc w:val="left"/>
      </w:pPr>
      <w:r>
        <w:rPr>
          <w:rFonts w:ascii="Times New Roman" w:cs="Times New Roman" w:eastAsia="Times New Roman" w:hAnsi="Times New Roman"/>
          <w:i/>
          <w:iCs/>
          <w:sz w:val="20"/>
          <w:szCs w:val="20"/>
        </w:rPr>
        <w:t xml:space="preserve">B. Operator Needs Set the Physical Frame</w:t>
      </w:r>
    </w:p>
    <w:p>
      <w:pPr>
        <w:spacing w:after="0" w:before="0" w:line="240" w:lineRule="auto"/>
        <w:ind w:firstLine="200"/>
        <w:jc w:val="both"/>
      </w:pPr>
      <w:r>
        <w:rPr>
          <w:rFonts w:ascii="Times New Roman" w:cs="Times New Roman" w:eastAsia="Times New Roman" w:hAnsi="Times New Roman"/>
          <w:sz w:val="20"/>
          <w:szCs w:val="20"/>
        </w:rPr>
        <w:t xml:space="preserve">The September 2026 facility inventory [16] shows what the market is building. The 93 commissioned facilities disclose 729 MW across 82 sites, a median of 6 MW: Brazil’s installed fleet is an interconnection and colocation fleet. The pipeline is different in kind. Seventeen planned or under-construction projects disclose 5,979 MW, and one campus, Scala Data Centers’ AI City at Eldorado do Sul, Rio Grande do Sul, accounts for 4,750 MW of it (79%). Every hyperscaler row (AWS, Microsoft Azure, Google Cloud, Oracle, IBM, Huawei, Tencent, Alibaba) lists capacity as undisclosed, so the disclosed pipeline is carried by domestic and regional operators (Scala, Ascenty, ODATA, Elea, V.tal, CloudHQ). The requirement has moved from a 10 MW site near a fiber exchange to a campus of hundreds of megawatts to gigawatts with firm clean power and closed-loop cooling. ReData-era siting is a grid-interconnection problem first and a fiber problem second, which is why the model treats distance to a high-voltage bus and to a transmission line as hard constraints.</w:t>
      </w:r>
    </w:p>
    <w:p>
      <w:pPr>
        <w:keepNext/>
        <w:spacing w:after="80" w:before="200" w:line="240" w:lineRule="auto"/>
        <w:ind w:firstLine="0"/>
        <w:jc w:val="center"/>
      </w:pPr>
      <w:r>
        <w:rPr>
          <w:rFonts w:ascii="Times New Roman" w:cs="Times New Roman" w:eastAsia="Times New Roman" w:hAnsi="Times New Roman"/>
          <w:smallCaps/>
          <w:sz w:val="20"/>
          <w:szCs w:val="20"/>
        </w:rPr>
        <w:t xml:space="preserve">II. Data</w:t>
      </w:r>
    </w:p>
    <w:p>
      <w:pPr>
        <w:spacing w:after="80" w:before="0" w:line="240" w:lineRule="auto"/>
        <w:ind w:firstLine="200"/>
        <w:jc w:val="both"/>
      </w:pPr>
      <w:r>
        <w:rPr>
          <w:rFonts w:ascii="Times New Roman" w:cs="Times New Roman" w:eastAsia="Times New Roman" w:hAnsi="Times New Roman"/>
          <w:sz w:val="20"/>
          <w:szCs w:val="20"/>
        </w:rPr>
        <w:t xml:space="preserve">Table I lists every dataset the model joins, its provider, when it was pulled, and its role. Nine sources are external; a GEM-style reference grid, a proposed-generation stress scenario, and the state screen are derived from them. Pull dates matter: the curtailment series ends in May 2026, the policy corpus predates Senate approval, and the facility inventory is four months newer than the rest.</w:t>
      </w:r>
    </w:p>
    <w:p>
      <w:pPr>
        <w:spacing w:after="80" w:before="0" w:line="240" w:lineRule="auto"/>
        <w:ind w:firstLine="200"/>
        <w:jc w:val="both"/>
      </w:pPr>
      <w:r>
        <w:rPr>
          <w:rFonts w:ascii="Times New Roman" w:cs="Times New Roman" w:eastAsia="Times New Roman" w:hAnsi="Times New Roman"/>
          <w:sz w:val="20"/>
          <w:szCs w:val="20"/>
        </w:rPr>
        <w:t xml:space="preserve">The pipeline has four phases. Phase 1 harmonizes every layer onto the 2,808 H3 cells and applies hard exclusions for protected areas, indigenous lands, surface water, and cells outside the state. Phase 2 derives a degradation probability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deg</w:t>
      </w:r>
      <w:r>
        <w:rPr>
          <w:rFonts w:ascii="Times New Roman" w:cs="Times New Roman" w:eastAsia="Times New Roman" w:hAnsi="Times New Roman"/>
          <w:sz w:val="20"/>
          <w:szCs w:val="20"/>
        </w:rPr>
        <w:t xml:space="preserve"> from quarterly Sentinel-2 and Sentinel-1 composites (NDVI as vegetation stress, NDWI as wetness sensitivity, VV and VH backscatter as radar pressure). Phase 3 is a deterministic policy classifier built from the 36-document corpus: each legal condition maps to a hard exclusion, a 2.5 km human-review buffer, or a stringency weight of 1, 5, or 100 (Low, Medium, Critical). Phase 4 applies the operator constraints (high-voltage bus within 25 km, transmission line within 15 km, interconnection facility within 50 km) and sorts the survivors on a six-objective Pareto frontier.</w:t>
      </w:r>
    </w:p>
    <w:p>
      <w:pPr>
        <w:sectPr>
          <w:type w:val="continuous"/>
          <w:pgSz w:w="11906" w:h="16838" w:orient="portrait"/>
          <w:pgMar w:top="1440" w:right="1440" w:bottom="1440" w:left="1440" w:header="708" w:footer="708" w:gutter="0"/>
          <w:pgNumType/>
          <w:cols w:space="288" w:num="2" w:equalWidth="true"/>
          <w:docGrid w:linePitch="360"/>
        </w:sectPr>
      </w:pPr>
    </w:p>
    <w:p>
      <w:pPr>
        <w:keepNext/>
        <w:spacing w:after="0" w:before="80" w:line="240" w:lineRule="auto"/>
        <w:ind w:firstLine="0"/>
        <w:jc w:val="center"/>
      </w:pPr>
      <w:r>
        <w:rPr>
          <w:rFonts w:ascii="Times New Roman" w:cs="Times New Roman" w:eastAsia="Times New Roman" w:hAnsi="Times New Roman"/>
          <w:smallCaps/>
          <w:sz w:val="16"/>
          <w:szCs w:val="16"/>
        </w:rPr>
        <w:t xml:space="preserve">TABLE I</w:t>
      </w:r>
    </w:p>
    <w:p>
      <w:pPr>
        <w:keepNext/>
        <w:spacing w:after="60" w:before="0" w:line="240" w:lineRule="auto"/>
        <w:ind w:firstLine="0"/>
        <w:jc w:val="center"/>
      </w:pPr>
      <w:r>
        <w:rPr>
          <w:rFonts w:ascii="Times New Roman" w:cs="Times New Roman" w:eastAsia="Times New Roman" w:hAnsi="Times New Roman"/>
          <w:smallCaps/>
          <w:sz w:val="16"/>
          <w:szCs w:val="16"/>
        </w:rPr>
        <w:t xml:space="preserve">Datasets Joined onto the H3 Decision Grid, with Provider, Snapshot Date, and Role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900"/>
        <w:gridCol w:w="2540"/>
        <w:gridCol w:w="700"/>
      </w:tblGrid>
      <w:tr>
        <w:trPr>
          <w:tblHeader/>
        </w:trPr>
        <w:tc>
          <w:tcPr>
            <w:tcW w:type="dxa" w:w="330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Dataset and contents</w:t>
            </w:r>
          </w:p>
        </w:tc>
        <w:tc>
          <w:tcPr>
            <w:tcW w:type="dxa" w:w="200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Provider</w:t>
            </w:r>
          </w:p>
        </w:tc>
        <w:tc>
          <w:tcPr>
            <w:tcW w:type="dxa" w:w="190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Snapshot / pull date</w:t>
            </w:r>
          </w:p>
        </w:tc>
        <w:tc>
          <w:tcPr>
            <w:tcW w:type="dxa" w:w="254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Role in the model</w:t>
            </w:r>
          </w:p>
        </w:tc>
        <w:tc>
          <w:tcPr>
            <w:tcW w:type="dxa" w:w="700"/>
            <w:tcBorders>
              <w:top w:val="single" w:color="000000" w:sz="4"/>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b/>
                <w:bCs/>
                <w:sz w:val="15"/>
                <w:szCs w:val="15"/>
              </w:rPr>
              <w:t xml:space="preserve">Ref.</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Territorial boundaries: 27 states, 5,573 municipalities, 3,001 conservation units, 637 indigenous lands</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IBGE, MMA, FUNAI via geobr v2.0.0</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2025 releases; pulled May 21,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Phase 1 hard exclusions; 2.5 km review buffer</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[6]</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Grid topology and generation: 1,705 buses, 1,838 branches, 4,626 units, 198,138 MW</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ONS Dados Abertos</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Pulled May 21,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Distance-to-bus and distance-to-line constraints; headroom</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[7]</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Wind and solar constrained-off (curtailment) records: 82 monthly files; 91.99 M half-hourly rows, 1,593 plants</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ONS Dados Abertos</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Oct. 2021–May 2026; pulled May 25,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Curtailment-opportunity objective; state screen</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[8]</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Energy asset inventory: 22,323 project rows across 19 technology sheets (Latin America; filtered to Brazil)</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Global Energy Monitor–style tracker workbook</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Workbook dated Mar. 24,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Nearby renewables; proposed-generation stress scenario</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[9]</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Interconnection facilities: 302 PeeringDB + 57 OpenStreetMap features, 336 merged points</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PeeringDB; OpenStreetMap contributors</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Pulled May 25,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Fiber-anchor constraint (≤ 50 km) and objective</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[10], [11]</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Curated facility inventory: 110 rows with operator, status, capacity, cooling, source URL</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Operator disclosures and trade press</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Compiled Sept.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Demand-side context; not used by the solver</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[16]</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Land cover (30 classes) and surface water, 30 m</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MapBiomas Brazil, 2024</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Pulled May 27,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Vulnerability proxy; water hard exclusion</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[12]</w:t>
            </w:r>
          </w:p>
        </w:tc>
      </w:tr>
      <w:tr>
        <w:tc>
          <w:tcPr>
            <w:tcW w:type="dxa" w:w="33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Sentinel-2 (B2–B12, NDVI, NDWI, NBR) and Sentinel-1 (VV, VH) quarterly composites, 10 m</w:t>
            </w:r>
          </w:p>
        </w:tc>
        <w:tc>
          <w:tcPr>
            <w:tcW w:type="dxa" w:w="20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ESA Copernicus via Google Earth Engine</w:t>
            </w:r>
          </w:p>
        </w:tc>
        <w:tc>
          <w:tcPr>
            <w:tcW w:type="dxa" w:w="19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Oct. 1, 2021–May 1, 2026; exported May 2026</w:t>
            </w:r>
          </w:p>
        </w:tc>
        <w:tc>
          <w:tcPr>
            <w:tcW w:type="dxa" w:w="254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Phase 2 degradation probability P_deg</w:t>
            </w:r>
          </w:p>
        </w:tc>
        <w:tc>
          <w:tcPr>
            <w:tcW w:type="dxa" w:w="700"/>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[13], [14]</w:t>
            </w:r>
          </w:p>
        </w:tc>
      </w:tr>
      <w:tr>
        <w:tc>
          <w:tcPr>
            <w:tcW w:type="dxa" w:w="330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Policy corpus: 36 documents (12 ReData and digital-infrastructure, 15 land and environmental law, 9 peer-reviewed)</w:t>
            </w:r>
          </w:p>
        </w:tc>
        <w:tc>
          <w:tcPr>
            <w:tcW w:type="dxa" w:w="200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Planalto, Senado, Câmara, MME, MMA, MDIC, Receita, Anatel; journals</w:t>
            </w:r>
          </w:p>
        </w:tc>
        <w:tc>
          <w:tcPr>
            <w:tcW w:type="dxa" w:w="190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Documents 1973–2026; corpus updated May 28, 2026</w:t>
            </w:r>
          </w:p>
        </w:tc>
        <w:tc>
          <w:tcPr>
            <w:tcW w:type="dxa" w:w="254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Phase 3 bounded policy classifier</w:t>
            </w:r>
          </w:p>
        </w:tc>
        <w:tc>
          <w:tcPr>
            <w:tcW w:type="dxa" w:w="700"/>
            <w:tcBorders>
              <w:top w:val="none" w:color="FFFFFF" w:sz="0"/>
              <w:left w:val="none" w:color="FFFFFF" w:sz="0"/>
              <w:bottom w:val="single" w:color="000000" w:sz="4"/>
              <w:right w:val="none" w:color="FFFFFF" w:sz="0"/>
            </w:tcBorders>
            <w:tcMar>
              <w:top w:type="dxa" w:w="20"/>
              <w:left w:type="dxa" w:w="40"/>
              <w:bottom w:type="dxa" w:w="20"/>
              <w:right w:type="dxa" w:w="40"/>
            </w:tcMar>
            <w:vAlign w:val="top"/>
          </w:tcPr>
          <w:p>
            <w:pPr>
              <w:spacing w:after="0" w:line="200" w:lineRule="auto"/>
              <w:jc w:val="left"/>
            </w:pPr>
            <w:r>
              <w:rPr>
                <w:rFonts w:ascii="Times New Roman" w:cs="Times New Roman" w:eastAsia="Times New Roman" w:hAnsi="Times New Roman"/>
                <w:sz w:val="15"/>
                <w:szCs w:val="15"/>
              </w:rPr>
              <w:t xml:space="preserve">[1]–[5], [17], [18]</w:t>
            </w:r>
          </w:p>
        </w:tc>
      </w:tr>
    </w:tbl>
    <w:p>
      <w:pPr>
        <w:spacing w:after="40" w:before="0" w:line="240" w:lineRule="auto"/>
        <w:ind w:firstLine="0"/>
        <w:jc w:val="both"/>
      </w:pPr>
      <w:r>
        <w:rPr>
          <w:rFonts w:ascii="Times New Roman" w:cs="Times New Roman" w:eastAsia="Times New Roman" w:hAnsi="Times New Roman"/>
          <w:sz w:val="20"/>
          <w:szCs w:val="20"/>
        </w:rPr>
        <w:t xml:space="preserve"/>
      </w:r>
    </w:p>
    <w:p>
      <w:pPr>
        <w:sectPr>
          <w:type w:val="continuous"/>
          <w:pgSz w:w="11906" w:h="16838" w:orient="portrait"/>
          <w:pgMar w:top="1440" w:right="1440" w:bottom="1440" w:left="1440" w:header="708" w:footer="708" w:gutter="0"/>
          <w:pgNumType/>
          <w:cols w:num="1"/>
          <w:docGrid w:linePitch="360"/>
        </w:sectPr>
      </w:pPr>
    </w:p>
    <w:p>
      <w:pPr>
        <w:keepNext/>
        <w:spacing w:after="80" w:before="200" w:line="240" w:lineRule="auto"/>
        <w:ind w:firstLine="0"/>
        <w:jc w:val="center"/>
      </w:pPr>
      <w:r>
        <w:rPr>
          <w:rFonts w:ascii="Times New Roman" w:cs="Times New Roman" w:eastAsia="Times New Roman" w:hAnsi="Times New Roman"/>
          <w:smallCaps/>
          <w:sz w:val="20"/>
          <w:szCs w:val="20"/>
        </w:rPr>
        <w:t xml:space="preserve">III. What the Snapshot Teaches</w:t>
      </w:r>
    </w:p>
    <w:p>
      <w:pPr>
        <w:keepNext/>
        <w:spacing w:after="40" w:before="120" w:line="240" w:lineRule="auto"/>
        <w:ind w:firstLine="0"/>
        <w:jc w:val="left"/>
      </w:pPr>
      <w:r>
        <w:rPr>
          <w:rFonts w:ascii="Times New Roman" w:cs="Times New Roman" w:eastAsia="Times New Roman" w:hAnsi="Times New Roman"/>
          <w:i/>
          <w:iCs/>
          <w:sz w:val="20"/>
          <w:szCs w:val="20"/>
        </w:rPr>
        <w:t xml:space="preserve">A. Curtailment Is Concentrated Where Data Centers Are Not</w:t>
      </w:r>
    </w:p>
    <w:p>
      <w:pPr>
        <w:spacing w:after="0" w:before="0" w:line="240" w:lineRule="auto"/>
        <w:ind w:firstLine="200"/>
        <w:jc w:val="both"/>
      </w:pPr>
      <w:r>
        <w:rPr>
          <w:rFonts w:ascii="Times New Roman" w:cs="Times New Roman" w:eastAsia="Times New Roman" w:hAnsi="Times New Roman"/>
          <w:sz w:val="20"/>
          <w:szCs w:val="20"/>
        </w:rPr>
        <w:t xml:space="preserve">Between October 2021 and May 2026, wind and solar plants under ONS constrained-off tracking generated 502.3 TWh and were ordered to curtail 63.5 TWh, 11.2% of potential output [8]. Five states account for 93% of the curtailed energy: Rio Grande do Norte (21.6 TWh), Bahia (18.2), Minas Gerais (7.2), Ceará (6.0), and Piauí (6.0); the Northeast alone accounts for 87%. The demand side is the mirror image. São Paulo and Rio de Janeiro hold 78 of the 110 curated facilities (71%) and 142 of the 336 interconnection points (42%); the five high-curtailment states hold 9 curated facilities, seven of them in Ceará. ReData’s regional discount points directly at this gap, and the Ceará case study sits inside it.</w:t>
      </w:r>
    </w:p>
    <w:p>
      <w:pPr>
        <w:keepNext/>
        <w:spacing w:after="40" w:before="120" w:line="240" w:lineRule="auto"/>
        <w:ind w:firstLine="0"/>
        <w:jc w:val="left"/>
      </w:pPr>
      <w:r>
        <w:rPr>
          <w:rFonts w:ascii="Times New Roman" w:cs="Times New Roman" w:eastAsia="Times New Roman" w:hAnsi="Times New Roman"/>
          <w:i/>
          <w:iCs/>
          <w:sz w:val="20"/>
          <w:szCs w:val="20"/>
        </w:rPr>
        <w:t xml:space="preserve">B. The Binding Constraint Is Wires, Not Generation</w:t>
      </w:r>
    </w:p>
    <w:p>
      <w:pPr>
        <w:spacing w:after="0" w:before="0" w:line="240" w:lineRule="auto"/>
        <w:ind w:firstLine="200"/>
        <w:jc w:val="both"/>
      </w:pPr>
      <w:r>
        <w:rPr>
          <w:rFonts w:ascii="Times New Roman" w:cs="Times New Roman" w:eastAsia="Times New Roman" w:hAnsi="Times New Roman"/>
          <w:sz w:val="20"/>
          <w:szCs w:val="20"/>
        </w:rPr>
        <w:t xml:space="preserve">The ONS topology carries 1,705 buses, 1,838 branches, and 198,138 MW of installed capacity [7]. Placing the inventory’s 3,552 proposed plants (463,005 MW) on that topology with transmission held fixed raises the count of overloaded branches from 1 to 236 and of branches above 75% loading from 9 to 335. Ceará is the extreme case: 6,294 MW installed against 91,886 MW proposed, the largest proposed build-out of any state, with the lowest transmission headroom in the country (0.07 on a 0–1 scale). A data center meant to absorb curtailed energy must therefore sit where a substation with headroom is within reach, and the interconnection queue, not land availability, will set its timing. The overlay is a DC power-flow stress proxy, not a dispatch forecast.</w:t>
      </w:r>
    </w:p>
    <w:p>
      <w:pPr>
        <w:keepNext/>
        <w:spacing w:after="40" w:before="120" w:line="240" w:lineRule="auto"/>
        <w:ind w:firstLine="0"/>
        <w:jc w:val="left"/>
      </w:pPr>
      <w:r>
        <w:rPr>
          <w:rFonts w:ascii="Times New Roman" w:cs="Times New Roman" w:eastAsia="Times New Roman" w:hAnsi="Times New Roman"/>
          <w:i/>
          <w:iCs/>
          <w:sz w:val="20"/>
          <w:szCs w:val="20"/>
        </w:rPr>
        <w:t xml:space="preserve">C. The State Screen and the Ceará Box</w:t>
      </w:r>
    </w:p>
    <w:p>
      <w:pPr>
        <w:spacing w:after="0" w:before="0" w:line="240" w:lineRule="auto"/>
        <w:ind w:firstLine="200"/>
        <w:jc w:val="both"/>
      </w:pPr>
      <w:r>
        <w:rPr>
          <w:rFonts w:ascii="Times New Roman" w:cs="Times New Roman" w:eastAsia="Times New Roman" w:hAnsi="Times New Roman"/>
          <w:sz w:val="20"/>
          <w:szCs w:val="20"/>
        </w:rPr>
        <w:t xml:space="preserve">The 27-state screen, weighted on market and interconnection (0.30), grid access (0.20), clean power (0.20), headroom (0.15), and biome (0.15), places São Paulo (86.1), Minas Gerais (74.8), Paraná (71.4), and Rio Grande do Sul (70.8) in Tier 1 and Bahia, Rio de Janeiro, Ceará (64.0), Goiás, Santa Catarina, and Mato Grosso in Tier 2. The market weight favors the Southeast; ReData’s regional counterparts are not yet in the weights and should be. Inside the Ceará box, 819 of 2,808 cells (29%) survive the hard constraints, 448 form the Pareto frontier, and 25 are recommended, with a top resilience score of 73.52. Ten of the 25 fall within the 2.5 km review buffer of a protected or indigenous boundary and are flagged for human review rather than excluded.</w:t>
      </w:r>
    </w:p>
    <w:p>
      <w:pPr>
        <w:keepNext/>
        <w:spacing w:after="40" w:before="120" w:line="240" w:lineRule="auto"/>
        <w:ind w:firstLine="0"/>
        <w:jc w:val="left"/>
      </w:pPr>
      <w:r>
        <w:rPr>
          <w:rFonts w:ascii="Times New Roman" w:cs="Times New Roman" w:eastAsia="Times New Roman" w:hAnsi="Times New Roman"/>
          <w:i/>
          <w:iCs/>
          <w:sz w:val="20"/>
          <w:szCs w:val="20"/>
        </w:rPr>
        <w:t xml:space="preserve">D. What the Snapshot Cannot Yet Say</w:t>
      </w:r>
    </w:p>
    <w:p>
      <w:pPr>
        <w:spacing w:after="0" w:before="0" w:line="240" w:lineRule="auto"/>
        <w:ind w:firstLine="200"/>
        <w:jc w:val="both"/>
      </w:pPr>
      <w:r>
        <w:rPr>
          <w:rFonts w:ascii="Times New Roman" w:cs="Times New Roman" w:eastAsia="Times New Roman" w:hAnsi="Times New Roman"/>
          <w:sz w:val="20"/>
          <w:szCs w:val="20"/>
        </w:rPr>
        <w:t xml:space="preserve">Four limits are documented rather than corrected so that the published numbers stay reproducible. First, the Phase 4 code has a defect in how it reads distances. A shortcut meant to treat a missing distance as “infinitely far” also treats a distance of exactly zero the same way, because Python regards zero as equivalent to “nothing there.” A cell that a transmission line passes straight through is therefore rejected as too far from any line. Correcting this admits 147 more cells (966 feasible, 505 on the frontier) and promotes a cell scoring 74.33 above the current top recommendation; the explorer offers the correction as a toggle. Second, the curtailment objective is identically zero inside the box because curtailment enters at state resolution, so the frontier is effectively five-objective. Third,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deg</w:t>
      </w:r>
      <w:r>
        <w:rPr>
          <w:rFonts w:ascii="Times New Roman" w:cs="Times New Roman" w:eastAsia="Times New Roman" w:hAnsi="Times New Roman"/>
          <w:sz w:val="20"/>
          <w:szCs w:val="20"/>
        </w:rPr>
        <w:t xml:space="preserve"> is capped at 0.90 for 355 cells (12.6%), water presence is a yes/no test at each cell center, the land-cover raster is a partial download, and 50 of the 110 curated facilities sit at city or state centroids. Fourth, water withdrawal rights (ANA) are absent even though the 0.05 L/kWh ceiling is ReData’s most quantitative condition.</w:t>
      </w:r>
    </w:p>
    <w:p>
      <w:pPr>
        <w:keepNext/>
        <w:spacing w:after="80" w:before="200" w:line="240" w:lineRule="auto"/>
        <w:ind w:firstLine="0"/>
        <w:jc w:val="center"/>
      </w:pPr>
      <w:r>
        <w:rPr>
          <w:rFonts w:ascii="Times New Roman" w:cs="Times New Roman" w:eastAsia="Times New Roman" w:hAnsi="Times New Roman"/>
          <w:smallCaps/>
          <w:sz w:val="20"/>
          <w:szCs w:val="20"/>
        </w:rPr>
        <w:t xml:space="preserve">IV. Conclusion</w:t>
      </w:r>
    </w:p>
    <w:p>
      <w:pPr>
        <w:spacing w:after="0" w:before="0" w:line="240" w:lineRule="auto"/>
        <w:ind w:firstLine="200"/>
        <w:jc w:val="both"/>
      </w:pPr>
      <w:r>
        <w:rPr>
          <w:rFonts w:ascii="Times New Roman" w:cs="Times New Roman" w:eastAsia="Times New Roman" w:hAnsi="Times New Roman"/>
          <w:sz w:val="20"/>
          <w:szCs w:val="20"/>
        </w:rPr>
        <w:t xml:space="preserve">The snapshot’s lesson is a geographic mismatch and a wires problem: the clean energy ReData wants absorbed is curtailed in the Northeast, the operators are in the Southeast, and the transmission system between them is already the constraint. The next revision will add ReData’s regional counterparts to the state weights, bring in ANA water rights and the ANEEL plant registry, replace the partial raster, correct the zero-distance defect, and re-run all four phases under the sanctioned law.</w:t>
      </w:r>
    </w:p>
    <w:p>
      <w:pPr>
        <w:keepNext/>
        <w:spacing w:after="80" w:before="200" w:line="240" w:lineRule="auto"/>
        <w:ind w:firstLine="0"/>
        <w:jc w:val="center"/>
      </w:pPr>
      <w:r>
        <w:rPr>
          <w:rFonts w:ascii="Times New Roman" w:cs="Times New Roman" w:eastAsia="Times New Roman" w:hAnsi="Times New Roman"/>
          <w:smallCaps/>
          <w:sz w:val="20"/>
          <w:szCs w:val="20"/>
        </w:rPr>
        <w:t xml:space="preserve">References</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Presidência da República, “Medida Provisória nº 1.318, de 17 de setembro de 2025: Regime Especial de Tributação para Serviços de Datacenter (REDATA),” Planalto, Brasília, Brazil, Sept. 17, 2025. [Online]. Available: https://www.planalto.gov.br/ccivil_03/_ato2023-2026/2025/mpv/mpv1318.htm</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Câmara dos Deputados, “Câmara aprova incentivo fiscal para investimentos em centros de processamento de dados,” Agência Câmara de Notícias, Feb. 25, 2026; and “Medida provisória busca impulsionar instalação de datacenters no Brasil,” Sept. 2025.</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Senado Federal, “Incentivo para instalação de data centers no Brasil é aprovado pelo Senado,” Agência Senado, Sept. 1, 2026 (PL 278/2026). [Online]. Available: https://www12.senado.leg.br/noticias/materias/2026/09/01/</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Ministério de Minas e Energia, “Redata: Política de Acesso e Incentivos para Data Centers,” gov.br, 2026.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Ministério do Meio Ambiente e Mudança do Clima, “Consulta pública sobre regulamentação de regime especial para datacenters debate critérios e indicadores de sustentabilidade,” gov.br, Oct. 1, 2025.</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 H. M. Pereira and C. N. Gonçalves, “geobr: Loads shapefiles of official spatial data sets of Brazil,” IPEA, 2019; prepared-data release v2.0.0. Boundaries © IBGE; conservation units © MMA/CNUC; indigenous lands © FUNAI.</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Operador Nacional do Sistema Elétrico, “Dados Abertos: subestação, linha de transmissão, capacidade de geração, geração por usina, carga de energia, balanço de energia,” dados.ons.org.br, accessed May 21, 2026.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Operador Nacional do Sistema Elétrico, “Restrição de operação por constrained-off de usinas eólicas e fotovoltaicas,” Dados Abertos, Oct. 2021–May 2026, accessed May 25, 2026.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Global Energy Monitor, Global Solar, Wind, Hydropower, Bioenergy, Oil and Gas, Coal, Nuclear, and Geothermal Power Trackers (Portal Energético workbook dated Mar. 24, 2026), CC BY 4.0.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PeeringDB, “Facility records, country = BR,” peeringdb.com, accessed May 25, 2026.</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OpenStreetMap contributors, elements tagged telecom=data_center in Brazil, retrieved via the Overpass API, May 25, 2026. Data © OpenStreetMap contributors, ODbL 1.0.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MapBiomas Project, “Collection of annual land use and land cover maps of Brazil, 2024,” 30 m, mapbiomas.org, CC BY 4.0.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European Space Agency, Copernicus Sentinel-1 GRD and Sentinel-2 Level-2A harmonized surface reflectance, 2021–2026. Contains modified Copernicus Sentinel data processed by ESA.</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N. Gorelick, M. Hancher, M. Dixon, S. Ilyushchenko, D. Thau, and R. Moore, “Google Earth Engine: Planetary-scale geospatial analysis for everyone,” </w:t>
      </w:r>
      <w:r>
        <w:rPr>
          <w:rFonts w:ascii="Times New Roman" w:cs="Times New Roman" w:eastAsia="Times New Roman" w:hAnsi="Times New Roman"/>
          <w:i/>
          <w:iCs/>
          <w:sz w:val="16"/>
          <w:szCs w:val="16"/>
        </w:rPr>
        <w:t xml:space="preserve">Remote Sens. Environ.</w:t>
      </w:r>
      <w:r>
        <w:rPr>
          <w:rFonts w:ascii="Times New Roman" w:cs="Times New Roman" w:eastAsia="Times New Roman" w:hAnsi="Times New Roman"/>
          <w:sz w:val="16"/>
          <w:szCs w:val="16"/>
        </w:rPr>
        <w:t xml:space="preserve">, vol. 202, pp. 18–27, 2017.</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Uber Technologies, “H3: Hexagonal hierarchical geospatial indexing system,” h3geo.org, Apache 2.0.</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G. Smith, “brazil-dc: Sovereign Compute Nexus,” GitHub repository and interactive explorer, 2026. [Online]. Available: https://github.com/giasmith/brazil-dc</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Brasil, Constituição da República Federativa do Brasil de 1988, arts. 225 and 231; Lei nº 14.701, de 20 de outubro de 2023 (demarcação de terras indígenas); Decreto nº 10.088/2019 (ILO Convention 169).</w:t>
      </w:r>
    </w:p>
    <w:p>
      <w:pPr>
        <w:tabs>
          <w:tab w:val="left" w:pos="360"/>
        </w:tabs>
        <w:spacing w:after="20" w:line="220" w:lineRule="auto"/>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Brasil, Lei nº 9.985, de 18 de julho de 2000 (Sistema Nacional de Unidades de Conservação); Lei nº 6.938/1981 (Política Nacional do Meio Ambiente); Lei Complementar nº 140/2011; Resolução CONAMA nº 428/2010.</w:t>
      </w:r>
    </w:p>
    <w:sectPr>
      <w:type w:val="continuous"/>
      <w:pgSz w:w="11906" w:h="16838" w:orient="portrait"/>
      <w:pgMar w:top="1440" w:right="1440" w:bottom="1440" w:left="1440" w:header="708" w:footer="708"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Siting Data Centers for the ReData Era</dc:title>
  <dc:creator>Gia Smith</dc:creator>
  <cp:lastModifiedBy>Un-named</cp:lastModifiedBy>
  <cp:revision>1</cp:revision>
  <dcterms:created xsi:type="dcterms:W3CDTF">2026-09-15T01:48:37.059Z</dcterms:created>
  <dcterms:modified xsi:type="dcterms:W3CDTF">2026-09-15T01:48:37.257Z</dcterms:modified>
</cp:coreProperties>
</file>

<file path=docProps/custom.xml><?xml version="1.0" encoding="utf-8"?>
<Properties xmlns="http://schemas.openxmlformats.org/officeDocument/2006/custom-properties" xmlns:vt="http://schemas.openxmlformats.org/officeDocument/2006/docPropsVTypes"/>
</file>