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60" w:lineRule="auto"/>
        <w:ind w:firstLine="0"/>
        <w:jc w:val="center"/>
      </w:pPr>
      <w:r>
        <w:rPr>
          <w:rFonts w:ascii="Times New Roman" w:cs="Times New Roman" w:eastAsia="Times New Roman" w:hAnsi="Times New Roman"/>
          <w:sz w:val="44"/>
          <w:szCs w:val="44"/>
        </w:rPr>
        <w:t xml:space="preserve">ReData as Siting Policy: A Constraint-First Model of Where Brazil’s Data-Center Incentives Bind</w:t>
      </w:r>
    </w:p>
    <w:p>
      <w:pPr>
        <w:spacing w:after="0" w:before="0" w:line="240" w:lineRule="auto"/>
        <w:ind w:firstLine="0"/>
        <w:jc w:val="center"/>
      </w:pPr>
      <w:r>
        <w:rPr>
          <w:rFonts w:ascii="Times New Roman" w:cs="Times New Roman" w:eastAsia="Times New Roman" w:hAnsi="Times New Roman"/>
          <w:sz w:val="22"/>
          <w:szCs w:val="22"/>
        </w:rPr>
        <w:t xml:space="preserve">Gia Smith</w:t>
      </w:r>
    </w:p>
    <w:p>
      <w:pPr>
        <w:spacing w:after="0" w:before="0" w:line="240" w:lineRule="auto"/>
        <w:ind w:firstLine="0"/>
        <w:jc w:val="center"/>
      </w:pPr>
      <w:r>
        <w:rPr>
          <w:rFonts w:ascii="Times New Roman" w:cs="Times New Roman" w:eastAsia="Times New Roman" w:hAnsi="Times New Roman"/>
          <w:sz w:val="20"/>
          <w:szCs w:val="20"/>
        </w:rPr>
        <w:t xml:space="preserve">University of Virginia, Charlottesville, VA, USA</w:t>
      </w:r>
    </w:p>
    <w:p>
      <w:pPr>
        <w:spacing w:after="240" w:before="0" w:line="240" w:lineRule="auto"/>
        <w:ind w:firstLine="0"/>
        <w:jc w:val="center"/>
      </w:pPr>
      <w:r>
        <w:rPr>
          <w:rFonts w:ascii="Times New Roman" w:cs="Times New Roman" w:eastAsia="Times New Roman" w:hAnsi="Times New Roman"/>
          <w:i/>
          <w:iCs/>
          <w:sz w:val="18"/>
          <w:szCs w:val="18"/>
        </w:rPr>
        <w:t xml:space="preserve">[co-authors and contact to be added]</w:t>
      </w:r>
    </w:p>
    <w:p>
      <w:pPr>
        <w:sectPr>
          <w:pgSz w:w="12240" w:h="15840" w:orient="portrait"/>
          <w:pgMar w:top="1008" w:right="900" w:bottom="1152" w:left="900" w:header="708" w:footer="708" w:gutter="0"/>
          <w:pgNumType/>
          <w:docGrid w:linePitch="360"/>
        </w:sectPr>
      </w:pPr>
    </w:p>
    <w:p>
      <w:pPr>
        <w:spacing w:after="80" w:before="0" w:line="240" w:lineRule="auto"/>
        <w:ind w:firstLine="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Brazil’s new special taxation regime for data-center services (ReData) ties federal tax relief to clean power, water efficiency, reserved domestic capacity, and regional decentralization, and is framed as a way to absorb curtailed renewable generation, most of which is in the Northeast. We are aware of no published analysis of where those incentives bind once transmission, fiber, and protected-land constraints are applied. This paper presents a reproducible, constraint-first screening model on the H3 grid that joins public grid, curtailment, land-cover, satellite, facility, and policy-corpus data, demonstrated on a 50 km × 50 km box on the Ceará coast. Curtailment is concentrated in the Northeast (87% of 63.5 TWh) while 71% of facilities sit in São Paulo and Rio de Janeiro; transmission, not generation, is the binding constraint; and of 25 recommended cells, 10 require human review, eight because they lie within 2.5 km of a conservation unit or of the Tapeba indigenous land. Constraint-first screening makes the socioenvironmental tension of ReData-era siting measurable before licensing begins, on a coast where wind-energy expansion has already produced documented conflicts with traditional communities.</w:t>
      </w:r>
    </w:p>
    <w:p>
      <w:pPr>
        <w:spacing w:after="120" w:before="0" w:line="240" w:lineRule="auto"/>
        <w:ind w:firstLine="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Brazil, curtailment, data centers, environmental justice, H3 grid, indigenous lands, Pareto optimization, ReData, site selection, transmission.</w:t>
      </w:r>
    </w:p>
    <w:p>
      <w:pPr>
        <w:keepNext/>
        <w:spacing w:after="80" w:before="200" w:line="240" w:lineRule="auto"/>
        <w:ind w:firstLine="0"/>
        <w:jc w:val="center"/>
      </w:pPr>
      <w:r>
        <w:rPr>
          <w:rFonts w:ascii="Times New Roman" w:cs="Times New Roman" w:eastAsia="Times New Roman" w:hAnsi="Times New Roman"/>
          <w:smallCaps/>
          <w:sz w:val="20"/>
          <w:szCs w:val="20"/>
        </w:rPr>
        <w:t xml:space="preserve">I. Introduction</w:t>
      </w:r>
    </w:p>
    <w:p>
      <w:pPr>
        <w:spacing w:after="0" w:before="0" w:line="240" w:lineRule="auto"/>
        <w:ind w:firstLine="200"/>
        <w:jc w:val="both"/>
      </w:pPr>
      <w:r>
        <w:rPr>
          <w:rFonts w:ascii="Times New Roman" w:cs="Times New Roman" w:eastAsia="Times New Roman" w:hAnsi="Times New Roman"/>
          <w:sz w:val="20"/>
          <w:szCs w:val="20"/>
        </w:rPr>
        <w:t xml:space="preserve">Brazil hosts the largest data-center market in Latin America and the Caribbean, and regional strategy now treats the sector as infrastructure to be attracted [1]. Brazil’s instrument for doing so is ReData, created by Provisional Measure 1,318 of September 17, 2025 [2] and approved by the Senate as Bill 278/2026 on September 1, 2026, pending presidential sanction [3]. ReData suspends federal taxes on data-center equipment in exchange for clean-energy, water-efficiency, domestic-capacity, and research conditions, with lighter obligations in the North, Northeast, and Center-West [3], and the Ministry of Mines and Energy frames it as a way to absorb curtailed renewable generation by siting load near it [4]. ReData is therefore a siting policy as much as a tax instrument, and its incentives point toward the Northeast.</w:t>
      </w:r>
    </w:p>
    <w:p>
      <w:pPr>
        <w:spacing w:after="0" w:before="0" w:line="240" w:lineRule="auto"/>
        <w:ind w:firstLine="200"/>
        <w:jc w:val="both"/>
      </w:pPr>
      <w:r>
        <w:rPr>
          <w:rFonts w:ascii="Times New Roman" w:cs="Times New Roman" w:eastAsia="Times New Roman" w:hAnsi="Times New Roman"/>
          <w:sz w:val="20"/>
          <w:szCs w:val="20"/>
        </w:rPr>
        <w:t xml:space="preserve">That geography has a history. About 80% of Brazil’s wind parks are in the Northeast, licensed through processes that render sociocultural impacts invisible and exclude traditional communities from participation [5]. On the Ceará coast, a wind farm built 200 m from the Xavier fishing community privatized commons, buried lakes, blocked roads, and threatened food security [6]; coastal communities have contested the privatization of protected areas and restrictions on their movement [7]; and the expansion has been read as extractive, with little return to local families [8]. The same coast is now narrated as a “digital infrastructure hub” pairing green energy with cloud capacity [9], and a planned data center in Caucaia, inside this paper’s case-study box, is already contested on environmental-law grounds [10]. Data-center debate elsewhere has centered on energy and water while community impacts go unexamined [11]–[13]. Brazilian scholarship argues for regulatory certainty [14], and an industry-oriented assessment finds ReData’s criteria readily met at the national scale [15]; neither asks where the incentives land on the ground.</w:t>
      </w:r>
    </w:p>
    <w:p>
      <w:pPr>
        <w:spacing w:after="0" w:before="0" w:line="240" w:lineRule="auto"/>
        <w:ind w:firstLine="200"/>
        <w:jc w:val="both"/>
      </w:pPr>
      <w:r>
        <w:rPr>
          <w:rFonts w:ascii="Times New Roman" w:cs="Times New Roman" w:eastAsia="Times New Roman" w:hAnsi="Times New Roman"/>
          <w:sz w:val="20"/>
          <w:szCs w:val="20"/>
        </w:rPr>
        <w:t xml:space="preserve">This paper contributes a reproducible, constraint-first siting model built entirely from public data, and uses it to defend three claims: that ReData functions as siting policy; that the physical and legal constraints concentrate viable sites near contested boundaries; and that this concentration falls on a coast where clean-energy siting has already excluded traditional communities. The model, every input, and an interactive explorer are in the project repository [28].</w:t>
      </w:r>
    </w:p>
    <w:p>
      <w:pPr>
        <w:keepNext/>
        <w:spacing w:after="80" w:before="200" w:line="240" w:lineRule="auto"/>
        <w:ind w:firstLine="0"/>
        <w:jc w:val="center"/>
      </w:pPr>
      <w:r>
        <w:rPr>
          <w:rFonts w:ascii="Times New Roman" w:cs="Times New Roman" w:eastAsia="Times New Roman" w:hAnsi="Times New Roman"/>
          <w:smallCaps/>
          <w:sz w:val="20"/>
          <w:szCs w:val="20"/>
        </w:rPr>
        <w:t xml:space="preserve">II. ReData and the Operators It Targets</w:t>
      </w:r>
    </w:p>
    <w:p>
      <w:pPr>
        <w:spacing w:after="0" w:before="0" w:line="240" w:lineRule="auto"/>
        <w:ind w:firstLine="200"/>
        <w:jc w:val="both"/>
      </w:pPr>
      <w:r>
        <w:rPr>
          <w:rFonts w:ascii="Times New Roman" w:cs="Times New Roman" w:eastAsia="Times New Roman" w:hAnsi="Times New Roman"/>
          <w:sz w:val="20"/>
          <w:szCs w:val="20"/>
        </w:rPr>
        <w:t xml:space="preserve">As approved by the Senate, a beneficiary must buy or self-produce clean or renewable electricity; hold cooling water use at or below 0.05 L/kWh, measured annually; reserve 10% of processing capacity for the Brazilian market (8% in the North, Northeast, and Center-West); invest 2% of equipment value in domestic research (1.6% there); and receives a five-year suspension of federal equipment taxes converting to exemption, at a fiscal cost of R$ 5.2 billion in 2026 [3]. Sustainability indicators remain under consultation [17]. The operators are changing in kind, too. A September 2026 inventory of 110 facilities [28] shows 93 commissioned sites disclosing 729 MW across 82 records, a median of 6 MW, against a pipeline of 17 projects disclosing 5,979 MW, 79% of it one campus (Scala Data Centers’ AI City, Rio Grande do Sul); every hyperscaler row (AWS, Microsoft, Google, Oracle, IBM, Huawei, Tencent, Alibaba) lists capacity as undisclosed, so the disclosed pipeline is carried by domestic and regional operators. The requirement has moved from a 10 MW site near a fiber exchange to a campus of hundreds of megawatts with firm clean power and closed-loop cooling, which is why distance to a high-voltage bus and to a line are hard constraints here.</w:t>
      </w:r>
    </w:p>
    <w:p>
      <w:pPr>
        <w:keepNext/>
        <w:spacing w:after="80" w:before="200" w:line="240" w:lineRule="auto"/>
        <w:ind w:firstLine="0"/>
        <w:jc w:val="center"/>
      </w:pPr>
      <w:r>
        <w:rPr>
          <w:rFonts w:ascii="Times New Roman" w:cs="Times New Roman" w:eastAsia="Times New Roman" w:hAnsi="Times New Roman"/>
          <w:smallCaps/>
          <w:sz w:val="20"/>
          <w:szCs w:val="20"/>
        </w:rPr>
        <w:t xml:space="preserve">III. Data and Method</w:t>
      </w:r>
    </w:p>
    <w:p>
      <w:pPr>
        <w:spacing w:after="80" w:before="0" w:line="240" w:lineRule="auto"/>
        <w:ind w:firstLine="200"/>
        <w:jc w:val="both"/>
      </w:pPr>
      <w:r>
        <w:rPr>
          <w:rFonts w:ascii="Times New Roman" w:cs="Times New Roman" w:eastAsia="Times New Roman" w:hAnsi="Times New Roman"/>
          <w:sz w:val="20"/>
          <w:szCs w:val="20"/>
        </w:rPr>
        <w:t xml:space="preserve">Table I lists every dataset the model joins, its provider, pull date, and role; a reference grid, a stress scenario, and a 27-state screen are derived from them. The pipeline has four phases. Phase 1 harmonizes every layer onto 2,808 H3 resolution-8 cells [27] covering a 50 km × 50 km box centered at 3.56° S, 38.82° W (the Pecém industrial port) and applies hard exclusions for conservation units, indigenous lands, surface water, and cells outside the state. Phase 2 derives a degradation probability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deg</w:t>
      </w:r>
      <w:r>
        <w:rPr>
          <w:rFonts w:ascii="Times New Roman" w:cs="Times New Roman" w:eastAsia="Times New Roman" w:hAnsi="Times New Roman"/>
          <w:sz w:val="20"/>
          <w:szCs w:val="20"/>
        </w:rPr>
        <w:t xml:space="preserve"> from quarterly Sentinel-2 and Sentinel-1 composites. Phase 3 is a deterministic classifier built from a 36-document legal corpus: each condition maps to a hard exclusion, a 2.5 km human-review buffer around protected and indigenous boundaries, or a stringency weight of 1, 5, or 100 [33], [34]. Phase 4 applies the operator constraints (high-voltage bus within 25 km, line within 15 km, interconnection facility within 50 km) and sorts survivors on a six-objective Pareto frontier.</w:t>
      </w:r>
    </w:p>
    <w:p>
      <w:pPr>
        <w:spacing w:after="80" w:before="0" w:line="240" w:lineRule="auto"/>
        <w:ind w:firstLine="200"/>
        <w:jc w:val="both"/>
      </w:pPr>
      <w:r>
        <w:rPr>
          <w:rFonts w:ascii="Times New Roman" w:cs="Times New Roman" w:eastAsia="Times New Roman" w:hAnsi="Times New Roman"/>
          <w:sz w:val="20"/>
          <w:szCs w:val="20"/>
        </w:rPr>
        <w:t xml:space="preserve">The approach sits in the Brazilian GIS multi-criteria siting literature: Rediske et al. screen photovoltaic farms with protected-area exclusions and weighted criteria [29], Garbellini et al. site onshore wind with 14 exclusion constraints and expert weights [30], and Chiarani et al. validate a solar-thermal ranking against alternative aggregation rules [31]. This model differs in applying legal and grid constraints as hard filters before any ranking and in deriving its policy layer from a citable corpus rather than expert weights. The review buffer follows de Godoy et al., who find that overlaps between conservation units and traditional territories concentrate where management plans are absent, so proximity to a boundary is a zone of legal insecurity, not a cartographic detail [32].</w:t>
      </w:r>
    </w:p>
    <w:p>
      <w:pPr>
        <w:keepNext/>
        <w:spacing w:after="80" w:before="200" w:line="240" w:lineRule="auto"/>
        <w:ind w:firstLine="0"/>
        <w:jc w:val="center"/>
      </w:pPr>
      <w:r>
        <w:rPr>
          <w:rFonts w:ascii="Times New Roman" w:cs="Times New Roman" w:eastAsia="Times New Roman" w:hAnsi="Times New Roman"/>
          <w:smallCaps/>
          <w:sz w:val="20"/>
          <w:szCs w:val="20"/>
        </w:rPr>
        <w:t xml:space="preserve">IV. What the Snapshot Shows</w:t>
      </w:r>
    </w:p>
    <w:p>
      <w:pPr>
        <w:keepNext/>
        <w:spacing w:after="40" w:before="110" w:line="240" w:lineRule="auto"/>
        <w:ind w:firstLine="0"/>
        <w:jc w:val="left"/>
      </w:pPr>
      <w:r>
        <w:rPr>
          <w:rFonts w:ascii="Times New Roman" w:cs="Times New Roman" w:eastAsia="Times New Roman" w:hAnsi="Times New Roman"/>
          <w:i/>
          <w:iCs/>
          <w:sz w:val="20"/>
          <w:szCs w:val="20"/>
        </w:rPr>
        <w:t xml:space="preserve">A. Curtailment Is Concentrated Where Data Centers Are Not</w:t>
      </w:r>
    </w:p>
    <w:p>
      <w:pPr>
        <w:spacing w:after="0" w:before="0" w:line="240" w:lineRule="auto"/>
        <w:ind w:firstLine="200"/>
        <w:jc w:val="both"/>
      </w:pPr>
      <w:r>
        <w:rPr>
          <w:rFonts w:ascii="Times New Roman" w:cs="Times New Roman" w:eastAsia="Times New Roman" w:hAnsi="Times New Roman"/>
          <w:sz w:val="20"/>
          <w:szCs w:val="20"/>
        </w:rPr>
        <w:t xml:space="preserve">Between October 2021 and May 2026, wind and solar plants under ONS constrained-off tracking generated 502.3 TWh and were ordered to curtail 63.5 TWh, 11.2% of potential output [20]. Five states account for 93% of the curtailed energy: Rio Grande do Norte (21.6 TWh), Bahia (18.2), Minas Gerais (7.2), Ceará (6.0), and Piauí (6.0); the Northeast alone accounts for 87%. The demand side is the mirror image: São Paulo and Rio de Janeiro hold 78 of the 110 inventoried facilities (71%) and 142 of the 336 interconnection points (42%); the five high-curtailment states hold nine, seven in Ceará. The 27-state screen, weighted 0.30 on market and interconnection, still ranks São Paulo (86.1) and Minas Gerais (74.8) first and Ceará seventh (64.0); ReData’s regional discounts are not yet in the weights, so the Northeast lean comes from the policy, not from the ranking.</w:t>
      </w:r>
    </w:p>
    <w:p>
      <w:pPr>
        <w:keepNext/>
        <w:spacing w:after="40" w:before="110" w:line="240" w:lineRule="auto"/>
        <w:ind w:firstLine="0"/>
        <w:jc w:val="left"/>
      </w:pPr>
      <w:r>
        <w:rPr>
          <w:rFonts w:ascii="Times New Roman" w:cs="Times New Roman" w:eastAsia="Times New Roman" w:hAnsi="Times New Roman"/>
          <w:i/>
          <w:iCs/>
          <w:sz w:val="20"/>
          <w:szCs w:val="20"/>
        </w:rPr>
        <w:t xml:space="preserve">B. The Binding Constraint Is Wires, Not Generation</w:t>
      </w:r>
    </w:p>
    <w:p>
      <w:pPr>
        <w:spacing w:after="0" w:before="0" w:line="240" w:lineRule="auto"/>
        <w:ind w:firstLine="200"/>
        <w:jc w:val="both"/>
      </w:pPr>
      <w:r>
        <w:rPr>
          <w:rFonts w:ascii="Times New Roman" w:cs="Times New Roman" w:eastAsia="Times New Roman" w:hAnsi="Times New Roman"/>
          <w:sz w:val="20"/>
          <w:szCs w:val="20"/>
        </w:rPr>
        <w:t xml:space="preserve">The ONS topology carries 1,705 buses, 1,838 branches, and 198,138 MW [19]. Placing the inventory’s 3,552 proposed plants (463,005 MW) on that topology with transmission fixed raises overloaded branches from 1 to 236 and branches above 75% loading from 9 to 335. Ceará is the extreme: 6,294 MW installed against 91,886 MW proposed, the largest build-out of any state, with the lowest transmission headroom in the country (0.07 on a 0–1 scale). A data center meant to absorb curtailed energy must sit where a substation with headroom is within reach, and the interconnection queue, not land, will set its timing. The overlay is a DC power-flow proxy, not a dispatch forecast.</w:t>
      </w:r>
    </w:p>
    <w:p>
      <w:pPr>
        <w:keepNext/>
        <w:spacing w:after="40" w:before="110" w:line="240" w:lineRule="auto"/>
        <w:ind w:firstLine="0"/>
        <w:jc w:val="left"/>
      </w:pPr>
      <w:r>
        <w:rPr>
          <w:rFonts w:ascii="Times New Roman" w:cs="Times New Roman" w:eastAsia="Times New Roman" w:hAnsi="Times New Roman"/>
          <w:i/>
          <w:iCs/>
          <w:sz w:val="20"/>
          <w:szCs w:val="20"/>
        </w:rPr>
        <w:t xml:space="preserve">C. Siting Pressure on Protected Territories</w:t>
      </w:r>
    </w:p>
    <w:p>
      <w:pPr>
        <w:spacing w:after="0" w:before="0" w:line="240" w:lineRule="auto"/>
        <w:ind w:firstLine="200"/>
        <w:jc w:val="both"/>
      </w:pPr>
      <w:r>
        <w:rPr>
          <w:rFonts w:ascii="Times New Roman" w:cs="Times New Roman" w:eastAsia="Times New Roman" w:hAnsi="Times New Roman"/>
          <w:sz w:val="20"/>
          <w:szCs w:val="20"/>
        </w:rPr>
        <w:t xml:space="preserve">The Ceará box is crowded with legal boundaries. Of its 2,808 cells, 1,353 lie offshore or outside the state, leaving 1,455 on land; 232 of those overlap conservation units, 124 overlap indigenous lands (Tapeba, declared, and Taba dos Anacé, in demarcation), and 552 lie within 2.5 km of one of those boundaries. Phase 3 hard-excludes 1,737 cells and 819 survive every constraint. The review flag then tracks the frontier upward: 246 of the 819 feasible cells carry it (30%), 73 of the 448 frontier cells, and 10 of the 25 recommended sites. Eight of the ten lie within the 2.5 km buffer, seven beside conservation units (an ecological station and an environmental protection area) and one, ranked eighth, 2.4 km from the Tapeba indigenous land in Caucaia, the municipality of the contested project in [10]; the other two are flagged for high land-cover vulnerability. Fifteen of the 25 lie within 5 km of a boundary; under the corrected run described below, the review share rises to 12 of 25 and the within-5-km count to 20. The pattern is the finding: once ocean, water, and overlapping territory are removed, the cells the model likes best press against the boundaries the law protects, and the wind-farm record [5]–[8] shows what happens when that pressure is licensed without the communities at the table.</w:t>
      </w:r>
    </w:p>
    <w:p>
      <w:pPr>
        <w:keepNext/>
        <w:spacing w:after="40" w:before="110" w:line="240" w:lineRule="auto"/>
        <w:ind w:firstLine="0"/>
        <w:jc w:val="left"/>
      </w:pPr>
      <w:r>
        <w:rPr>
          <w:rFonts w:ascii="Times New Roman" w:cs="Times New Roman" w:eastAsia="Times New Roman" w:hAnsi="Times New Roman"/>
          <w:i/>
          <w:iCs/>
          <w:sz w:val="20"/>
          <w:szCs w:val="20"/>
        </w:rPr>
        <w:t xml:space="preserve">D. What the Snapshot Cannot Yet Say</w:t>
      </w:r>
    </w:p>
    <w:p>
      <w:pPr>
        <w:spacing w:after="0" w:before="0" w:line="240" w:lineRule="auto"/>
        <w:ind w:firstLine="200"/>
        <w:jc w:val="both"/>
      </w:pPr>
      <w:r>
        <w:rPr>
          <w:rFonts w:ascii="Times New Roman" w:cs="Times New Roman" w:eastAsia="Times New Roman" w:hAnsi="Times New Roman"/>
          <w:sz w:val="20"/>
          <w:szCs w:val="20"/>
        </w:rPr>
        <w:t xml:space="preserve">Five limits are documented, not corrected, so the published numbers stay reproducible. First, a shortcut in Phase 4 treats a distance of exactly zero as missing, so a cell that a transmission line crosses is rejected as too far from one; correcting it admits 147 cells (966 feasible, 505 on the frontier) and promotes a cell scoring 74.33 above the current top of 73.52. Second, the curtailment objective is zero inside the box, so the frontier is effectively five-objective. Third,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deg</w:t>
      </w:r>
      <w:r>
        <w:rPr>
          <w:rFonts w:ascii="Times New Roman" w:cs="Times New Roman" w:eastAsia="Times New Roman" w:hAnsi="Times New Roman"/>
          <w:sz w:val="20"/>
          <w:szCs w:val="20"/>
        </w:rPr>
        <w:t xml:space="preserve"> is capped at 0.90 for 355 cells, water is a yes/no test at cell centers, the land-cover raster is a partial download, and 50 of the 110 inventoried facilities sit at city or state centroids. Fourth, the classifier records no reason when the land-cover trigger alone sets a review flag, so two of the ten flagged sites read “no policy trigger.” Fifth, ANA water rights, quilombola territories, and the ANEEL plant registry are absent although the 0.05 L/kWh ceiling is ReData’s most quantitative condition.</w:t>
      </w:r>
    </w:p>
    <w:p>
      <w:pPr>
        <w:keepNext/>
        <w:spacing w:after="80" w:before="200" w:line="240" w:lineRule="auto"/>
        <w:ind w:firstLine="0"/>
        <w:jc w:val="center"/>
      </w:pPr>
      <w:r>
        <w:rPr>
          <w:rFonts w:ascii="Times New Roman" w:cs="Times New Roman" w:eastAsia="Times New Roman" w:hAnsi="Times New Roman"/>
          <w:smallCaps/>
          <w:sz w:val="20"/>
          <w:szCs w:val="20"/>
        </w:rPr>
        <w:t xml:space="preserve">V. Conclusion</w:t>
      </w:r>
    </w:p>
    <w:p>
      <w:pPr>
        <w:spacing w:after="0" w:before="0" w:line="240" w:lineRule="auto"/>
        <w:ind w:firstLine="200"/>
        <w:jc w:val="both"/>
      </w:pPr>
      <w:r>
        <w:rPr>
          <w:rFonts w:ascii="Times New Roman" w:cs="Times New Roman" w:eastAsia="Times New Roman" w:hAnsi="Times New Roman"/>
          <w:sz w:val="20"/>
          <w:szCs w:val="20"/>
        </w:rPr>
        <w:t xml:space="preserve">ReData points gigawatt-scale load toward the Northeast; the wires there are already the constraint; and on the Ceará coast the cells that survive every filter sit against conservation units and a declared indigenous land in a municipality where a data center is already contested. The model makes that tension measurable before licensing begins. Next: ReData’s regional counterparts in the state weights, ANA water rights and quilombola territories as layers, the zero-distance correction applied, and the review-buffer finding reported under both runs.</w:t>
      </w:r>
    </w:p>
    <w:p>
      <w:pPr>
        <w:sectPr>
          <w:type w:val="continuous"/>
          <w:pgSz w:w="11906" w:h="16838" w:orient="portrait"/>
          <w:pgMar w:top="1440" w:right="1440" w:bottom="1440" w:left="1440" w:header="708" w:footer="708" w:gutter="0"/>
          <w:pgNumType/>
          <w:cols w:space="288" w:num="2" w:equalWidth="true"/>
          <w:docGrid w:linePitch="360"/>
        </w:sectPr>
      </w:pPr>
    </w:p>
    <w:p>
      <w:pPr>
        <w:keepNext/>
        <w:spacing w:after="0" w:before="80" w:line="240" w:lineRule="auto"/>
        <w:ind w:firstLine="0"/>
        <w:jc w:val="center"/>
      </w:pPr>
      <w:r>
        <w:rPr>
          <w:rFonts w:ascii="Times New Roman" w:cs="Times New Roman" w:eastAsia="Times New Roman" w:hAnsi="Times New Roman"/>
          <w:smallCaps/>
          <w:sz w:val="16"/>
          <w:szCs w:val="16"/>
        </w:rPr>
        <w:t xml:space="preserve">TABLE I</w:t>
      </w:r>
    </w:p>
    <w:p>
      <w:pPr>
        <w:keepNext/>
        <w:spacing w:after="60" w:before="0" w:line="240" w:lineRule="auto"/>
        <w:ind w:firstLine="0"/>
        <w:jc w:val="center"/>
      </w:pPr>
      <w:r>
        <w:rPr>
          <w:rFonts w:ascii="Times New Roman" w:cs="Times New Roman" w:eastAsia="Times New Roman" w:hAnsi="Times New Roman"/>
          <w:smallCaps/>
          <w:sz w:val="16"/>
          <w:szCs w:val="16"/>
        </w:rPr>
        <w:t xml:space="preserve">Datasets Joined onto the H3 Decision Grid, with Provider, Snapshot Date, and Role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1900"/>
        <w:gridCol w:w="2540"/>
        <w:gridCol w:w="700"/>
      </w:tblGrid>
      <w:tr>
        <w:trPr>
          <w:tblHeader/>
        </w:trPr>
        <w:tc>
          <w:tcPr>
            <w:tcW w:type="dxa" w:w="3300"/>
            <w:tcBorders>
              <w:top w:val="single" w:color="000000" w:sz="4"/>
              <w:left w:val="none" w:color="FFFFFF" w:sz="0"/>
              <w:bottom w:val="single" w:color="000000" w:sz="4"/>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b/>
                <w:bCs/>
                <w:sz w:val="15"/>
                <w:szCs w:val="15"/>
              </w:rPr>
              <w:t xml:space="preserve">Dataset and contents</w:t>
            </w:r>
          </w:p>
        </w:tc>
        <w:tc>
          <w:tcPr>
            <w:tcW w:type="dxa" w:w="2000"/>
            <w:tcBorders>
              <w:top w:val="single" w:color="000000" w:sz="4"/>
              <w:left w:val="none" w:color="FFFFFF" w:sz="0"/>
              <w:bottom w:val="single" w:color="000000" w:sz="4"/>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b/>
                <w:bCs/>
                <w:sz w:val="15"/>
                <w:szCs w:val="15"/>
              </w:rPr>
              <w:t xml:space="preserve">Provider</w:t>
            </w:r>
          </w:p>
        </w:tc>
        <w:tc>
          <w:tcPr>
            <w:tcW w:type="dxa" w:w="1900"/>
            <w:tcBorders>
              <w:top w:val="single" w:color="000000" w:sz="4"/>
              <w:left w:val="none" w:color="FFFFFF" w:sz="0"/>
              <w:bottom w:val="single" w:color="000000" w:sz="4"/>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b/>
                <w:bCs/>
                <w:sz w:val="15"/>
                <w:szCs w:val="15"/>
              </w:rPr>
              <w:t xml:space="preserve">Snapshot / pull date</w:t>
            </w:r>
          </w:p>
        </w:tc>
        <w:tc>
          <w:tcPr>
            <w:tcW w:type="dxa" w:w="2540"/>
            <w:tcBorders>
              <w:top w:val="single" w:color="000000" w:sz="4"/>
              <w:left w:val="none" w:color="FFFFFF" w:sz="0"/>
              <w:bottom w:val="single" w:color="000000" w:sz="4"/>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b/>
                <w:bCs/>
                <w:sz w:val="15"/>
                <w:szCs w:val="15"/>
              </w:rPr>
              <w:t xml:space="preserve">Role in the model</w:t>
            </w:r>
          </w:p>
        </w:tc>
        <w:tc>
          <w:tcPr>
            <w:tcW w:type="dxa" w:w="700"/>
            <w:tcBorders>
              <w:top w:val="single" w:color="000000" w:sz="4"/>
              <w:left w:val="none" w:color="FFFFFF" w:sz="0"/>
              <w:bottom w:val="single" w:color="000000" w:sz="4"/>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b/>
                <w:bCs/>
                <w:sz w:val="15"/>
                <w:szCs w:val="15"/>
              </w:rPr>
              <w:t xml:space="preserve">Ref.</w:t>
            </w:r>
          </w:p>
        </w:tc>
      </w:tr>
      <w:tr>
        <w:tc>
          <w:tcPr>
            <w:tcW w:type="dxa" w:w="33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Boundaries: 27 states, 5,573 municipalities, 3,001 conservation units, 637 indigenous lands</w:t>
            </w:r>
          </w:p>
        </w:tc>
        <w:tc>
          <w:tcPr>
            <w:tcW w:type="dxa" w:w="20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IBGE, MMA, FUNAI via geobr v2.0.0</w:t>
            </w:r>
          </w:p>
        </w:tc>
        <w:tc>
          <w:tcPr>
            <w:tcW w:type="dxa" w:w="19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2025 releases; pulled May 21, 2026</w:t>
            </w:r>
          </w:p>
        </w:tc>
        <w:tc>
          <w:tcPr>
            <w:tcW w:type="dxa" w:w="254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Phase 1 hard exclusions; 2.5 km review buffer</w:t>
            </w:r>
          </w:p>
        </w:tc>
        <w:tc>
          <w:tcPr>
            <w:tcW w:type="dxa" w:w="7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[18]</w:t>
            </w:r>
          </w:p>
        </w:tc>
      </w:tr>
      <w:tr>
        <w:tc>
          <w:tcPr>
            <w:tcW w:type="dxa" w:w="33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Grid topology and generation: 1,705 buses, 1,838 branches, 4,626 units, 198,138 MW</w:t>
            </w:r>
          </w:p>
        </w:tc>
        <w:tc>
          <w:tcPr>
            <w:tcW w:type="dxa" w:w="20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ONS Dados Abertos</w:t>
            </w:r>
          </w:p>
        </w:tc>
        <w:tc>
          <w:tcPr>
            <w:tcW w:type="dxa" w:w="19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Pulled May 21, 2026</w:t>
            </w:r>
          </w:p>
        </w:tc>
        <w:tc>
          <w:tcPr>
            <w:tcW w:type="dxa" w:w="254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Distance-to-bus and distance-to-line constraints; headroom</w:t>
            </w:r>
          </w:p>
        </w:tc>
        <w:tc>
          <w:tcPr>
            <w:tcW w:type="dxa" w:w="7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[19]</w:t>
            </w:r>
          </w:p>
        </w:tc>
      </w:tr>
      <w:tr>
        <w:tc>
          <w:tcPr>
            <w:tcW w:type="dxa" w:w="33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Wind and solar curtailment (constrained-off) records: 82 monthly files; 91.99 M half-hourly rows</w:t>
            </w:r>
          </w:p>
        </w:tc>
        <w:tc>
          <w:tcPr>
            <w:tcW w:type="dxa" w:w="20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ONS Dados Abertos</w:t>
            </w:r>
          </w:p>
        </w:tc>
        <w:tc>
          <w:tcPr>
            <w:tcW w:type="dxa" w:w="19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Oct. 2021–May 2026; pulled May 25, 2026</w:t>
            </w:r>
          </w:p>
        </w:tc>
        <w:tc>
          <w:tcPr>
            <w:tcW w:type="dxa" w:w="254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Curtailment-opportunity objective; state screen</w:t>
            </w:r>
          </w:p>
        </w:tc>
        <w:tc>
          <w:tcPr>
            <w:tcW w:type="dxa" w:w="7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[20]</w:t>
            </w:r>
          </w:p>
        </w:tc>
      </w:tr>
      <w:tr>
        <w:tc>
          <w:tcPr>
            <w:tcW w:type="dxa" w:w="33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Energy asset inventory: 22,323 project rows, 19 technology sheets (filtered to Brazil)</w:t>
            </w:r>
          </w:p>
        </w:tc>
        <w:tc>
          <w:tcPr>
            <w:tcW w:type="dxa" w:w="20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Global Energy Monitor–style tracker workbook</w:t>
            </w:r>
          </w:p>
        </w:tc>
        <w:tc>
          <w:tcPr>
            <w:tcW w:type="dxa" w:w="19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Workbook dated Mar. 24, 2026</w:t>
            </w:r>
          </w:p>
        </w:tc>
        <w:tc>
          <w:tcPr>
            <w:tcW w:type="dxa" w:w="254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Nearby renewables; proposed-generation stress scenario</w:t>
            </w:r>
          </w:p>
        </w:tc>
        <w:tc>
          <w:tcPr>
            <w:tcW w:type="dxa" w:w="7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[21]</w:t>
            </w:r>
          </w:p>
        </w:tc>
      </w:tr>
      <w:tr>
        <w:tc>
          <w:tcPr>
            <w:tcW w:type="dxa" w:w="33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Interconnection facilities: 302 PeeringDB + 57 OpenStreetMap features, 336 merged points</w:t>
            </w:r>
          </w:p>
        </w:tc>
        <w:tc>
          <w:tcPr>
            <w:tcW w:type="dxa" w:w="20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PeeringDB; OpenStreetMap contributors</w:t>
            </w:r>
          </w:p>
        </w:tc>
        <w:tc>
          <w:tcPr>
            <w:tcW w:type="dxa" w:w="19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Pulled May 25, 2026</w:t>
            </w:r>
          </w:p>
        </w:tc>
        <w:tc>
          <w:tcPr>
            <w:tcW w:type="dxa" w:w="254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Fiber-anchor constraint (≤ 50 km) and objective</w:t>
            </w:r>
          </w:p>
        </w:tc>
        <w:tc>
          <w:tcPr>
            <w:tcW w:type="dxa" w:w="7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[22], [23]</w:t>
            </w:r>
          </w:p>
        </w:tc>
      </w:tr>
      <w:tr>
        <w:tc>
          <w:tcPr>
            <w:tcW w:type="dxa" w:w="33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Facility inventory: 110 rows with operator, status, capacity, cooling, source URL</w:t>
            </w:r>
          </w:p>
        </w:tc>
        <w:tc>
          <w:tcPr>
            <w:tcW w:type="dxa" w:w="20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Operator disclosures and trade press</w:t>
            </w:r>
          </w:p>
        </w:tc>
        <w:tc>
          <w:tcPr>
            <w:tcW w:type="dxa" w:w="19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Compiled Sept. 2026</w:t>
            </w:r>
          </w:p>
        </w:tc>
        <w:tc>
          <w:tcPr>
            <w:tcW w:type="dxa" w:w="254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Demand-side context; not used by the solver</w:t>
            </w:r>
          </w:p>
        </w:tc>
        <w:tc>
          <w:tcPr>
            <w:tcW w:type="dxa" w:w="7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[28]</w:t>
            </w:r>
          </w:p>
        </w:tc>
      </w:tr>
      <w:tr>
        <w:tc>
          <w:tcPr>
            <w:tcW w:type="dxa" w:w="33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Land cover (30 classes) and surface water, 30 m</w:t>
            </w:r>
          </w:p>
        </w:tc>
        <w:tc>
          <w:tcPr>
            <w:tcW w:type="dxa" w:w="20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MapBiomas Brazil, 2024</w:t>
            </w:r>
          </w:p>
        </w:tc>
        <w:tc>
          <w:tcPr>
            <w:tcW w:type="dxa" w:w="19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Pulled May 27, 2026</w:t>
            </w:r>
          </w:p>
        </w:tc>
        <w:tc>
          <w:tcPr>
            <w:tcW w:type="dxa" w:w="254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Vulnerability proxy; water hard exclusion</w:t>
            </w:r>
          </w:p>
        </w:tc>
        <w:tc>
          <w:tcPr>
            <w:tcW w:type="dxa" w:w="7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[24]</w:t>
            </w:r>
          </w:p>
        </w:tc>
      </w:tr>
      <w:tr>
        <w:tc>
          <w:tcPr>
            <w:tcW w:type="dxa" w:w="33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Sentinel-2 (B2–B12, NDVI, NDWI, NBR) and Sentinel-1 (VV, VH) quarterly composites, 10 m</w:t>
            </w:r>
          </w:p>
        </w:tc>
        <w:tc>
          <w:tcPr>
            <w:tcW w:type="dxa" w:w="20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ESA Copernicus via Google Earth Engine</w:t>
            </w:r>
          </w:p>
        </w:tc>
        <w:tc>
          <w:tcPr>
            <w:tcW w:type="dxa" w:w="19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Oct. 1, 2021–May 1, 2026; exported May 2026</w:t>
            </w:r>
          </w:p>
        </w:tc>
        <w:tc>
          <w:tcPr>
            <w:tcW w:type="dxa" w:w="254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Phase 2 degradation probability P_deg</w:t>
            </w:r>
          </w:p>
        </w:tc>
        <w:tc>
          <w:tcPr>
            <w:tcW w:type="dxa" w:w="7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[25], [26]</w:t>
            </w:r>
          </w:p>
        </w:tc>
      </w:tr>
      <w:tr>
        <w:tc>
          <w:tcPr>
            <w:tcW w:type="dxa" w:w="3300"/>
            <w:tcBorders>
              <w:top w:val="none" w:color="FFFFFF" w:sz="0"/>
              <w:left w:val="none" w:color="FFFFFF" w:sz="0"/>
              <w:bottom w:val="single" w:color="000000" w:sz="4"/>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Policy corpus: 36 documents (12 ReData, 15 land and environmental law, 9 peer-reviewed)</w:t>
            </w:r>
          </w:p>
        </w:tc>
        <w:tc>
          <w:tcPr>
            <w:tcW w:type="dxa" w:w="2000"/>
            <w:tcBorders>
              <w:top w:val="none" w:color="FFFFFF" w:sz="0"/>
              <w:left w:val="none" w:color="FFFFFF" w:sz="0"/>
              <w:bottom w:val="single" w:color="000000" w:sz="4"/>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Planalto, Senado, Câmara, MME, MMA, MDIC, Anatel; journals</w:t>
            </w:r>
          </w:p>
        </w:tc>
        <w:tc>
          <w:tcPr>
            <w:tcW w:type="dxa" w:w="1900"/>
            <w:tcBorders>
              <w:top w:val="none" w:color="FFFFFF" w:sz="0"/>
              <w:left w:val="none" w:color="FFFFFF" w:sz="0"/>
              <w:bottom w:val="single" w:color="000000" w:sz="4"/>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Documents 1973–2026; corpus updated May 28, 2026</w:t>
            </w:r>
          </w:p>
        </w:tc>
        <w:tc>
          <w:tcPr>
            <w:tcW w:type="dxa" w:w="2540"/>
            <w:tcBorders>
              <w:top w:val="none" w:color="FFFFFF" w:sz="0"/>
              <w:left w:val="none" w:color="FFFFFF" w:sz="0"/>
              <w:bottom w:val="single" w:color="000000" w:sz="4"/>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Phase 3 bounded policy classifier</w:t>
            </w:r>
          </w:p>
        </w:tc>
        <w:tc>
          <w:tcPr>
            <w:tcW w:type="dxa" w:w="700"/>
            <w:tcBorders>
              <w:top w:val="none" w:color="FFFFFF" w:sz="0"/>
              <w:left w:val="none" w:color="FFFFFF" w:sz="0"/>
              <w:bottom w:val="single" w:color="000000" w:sz="4"/>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[2]–[4], [16], [17], [33], [34]</w:t>
            </w:r>
          </w:p>
        </w:tc>
      </w:tr>
    </w:tbl>
    <w:p>
      <w:pPr>
        <w:spacing w:after="40" w:before="0" w:line="240" w:lineRule="auto"/>
        <w:ind w:firstLine="0"/>
        <w:jc w:val="both"/>
      </w:pPr>
      <w:r>
        <w:rPr>
          <w:rFonts w:ascii="Times New Roman" w:cs="Times New Roman" w:eastAsia="Times New Roman" w:hAnsi="Times New Roman"/>
          <w:sz w:val="20"/>
          <w:szCs w:val="20"/>
        </w:rPr>
        <w:t xml:space="preserve"/>
      </w:r>
    </w:p>
    <w:p>
      <w:pPr>
        <w:sectPr>
          <w:type w:val="nextPage"/>
          <w:pgSz w:w="11906" w:h="16838" w:orient="portrait"/>
          <w:pgMar w:top="1440" w:right="1440" w:bottom="1440" w:left="1440" w:header="708" w:footer="708" w:gutter="0"/>
          <w:pgNumType/>
          <w:cols w:num="1"/>
          <w:docGrid w:linePitch="360"/>
        </w:sectPr>
      </w:pPr>
    </w:p>
    <w:p>
      <w:pPr>
        <w:keepNext/>
        <w:spacing w:after="80" w:before="200" w:line="240" w:lineRule="auto"/>
        <w:ind w:firstLine="0"/>
        <w:jc w:val="center"/>
      </w:pPr>
      <w:r>
        <w:rPr>
          <w:rFonts w:ascii="Times New Roman" w:cs="Times New Roman" w:eastAsia="Times New Roman" w:hAnsi="Times New Roman"/>
          <w:smallCaps/>
          <w:sz w:val="20"/>
          <w:szCs w:val="20"/>
        </w:rPr>
        <w:t xml:space="preserve">References</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A. García Zaballos et al., </w:t>
      </w:r>
      <w:r>
        <w:rPr>
          <w:rFonts w:ascii="Times New Roman" w:cs="Times New Roman" w:eastAsia="Times New Roman" w:hAnsi="Times New Roman"/>
          <w:i/>
          <w:iCs/>
          <w:sz w:val="16"/>
          <w:szCs w:val="16"/>
        </w:rPr>
        <w:t xml:space="preserve">Capturing the Data Center Opportunity in Latin America and the Caribbean</w:t>
      </w:r>
      <w:r>
        <w:rPr>
          <w:rFonts w:ascii="Times New Roman" w:cs="Times New Roman" w:eastAsia="Times New Roman" w:hAnsi="Times New Roman"/>
          <w:sz w:val="16"/>
          <w:szCs w:val="16"/>
        </w:rPr>
        <w:t xml:space="preserve">. Washington, DC, USA: Inter-American Development Bank, 2025, doi: 10.18235/0013774.</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Presidência da República, “Medida Provisória nº 1.318, de 17 de setembro de 2025 (REDATA),” Planalto, Brasília, Brazil, Sept. 17, 2025. [Online]. Available: https://www.planalto.gov.br/ccivil_03/_ato2023-2026/2025/mpv/mpv1318.htm</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Senado Federal, “Incentivo para instalação de data centers no Brasil é aprovado pelo Senado,” Agência Senado, Sept. 1, 2026 (PL 278/2026). [Online]. Available: https://www12.senado.leg.br/noticias/materias/2026/09/01/</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Ministério de Minas e Energia, “Redata: Política de Acesso e Incentivos para Data Centers,” gov.br, 2026.</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A. N. S. dos Santos et al., “Territórios dos ventos: geopolítica, impactos ambientais e desafios da energia eólica no Brasil,” </w:t>
      </w:r>
      <w:r>
        <w:rPr>
          <w:rFonts w:ascii="Times New Roman" w:cs="Times New Roman" w:eastAsia="Times New Roman" w:hAnsi="Times New Roman"/>
          <w:i/>
          <w:iCs/>
          <w:sz w:val="16"/>
          <w:szCs w:val="16"/>
        </w:rPr>
        <w:t xml:space="preserve">ARACÊ</w:t>
      </w:r>
      <w:r>
        <w:rPr>
          <w:rFonts w:ascii="Times New Roman" w:cs="Times New Roman" w:eastAsia="Times New Roman" w:hAnsi="Times New Roman"/>
          <w:sz w:val="16"/>
          <w:szCs w:val="16"/>
        </w:rPr>
        <w:t xml:space="preserve">, vol. 7, no. 6, pp. 29407–29458, 2025, doi: 10.56238/arev7n6-024.</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A. Gorayeb et al., “Wind-energy development causes social impacts in coastal Ceará state, Brazil: The case of the Xavier community,” </w:t>
      </w:r>
      <w:r>
        <w:rPr>
          <w:rFonts w:ascii="Times New Roman" w:cs="Times New Roman" w:eastAsia="Times New Roman" w:hAnsi="Times New Roman"/>
          <w:i/>
          <w:iCs/>
          <w:sz w:val="16"/>
          <w:szCs w:val="16"/>
        </w:rPr>
        <w:t xml:space="preserve">J. Coastal Res.</w:t>
      </w:r>
      <w:r>
        <w:rPr>
          <w:rFonts w:ascii="Times New Roman" w:cs="Times New Roman" w:eastAsia="Times New Roman" w:hAnsi="Times New Roman"/>
          <w:sz w:val="16"/>
          <w:szCs w:val="16"/>
        </w:rPr>
        <w:t xml:space="preserve">, vol. 75, sp1, pp. 383–387, 2016, doi: 10.2112/SI75-077.1.</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D. R. F. da Silva, “Ventos de discórdia: território, energia eólica e conflitos socioambientais na zona costeira do Ceará,” M.S. thesis, Dept. Geography, Univ. Federal do Ceará, Fortaleza, Brazil, 2014. [Online]. Available: https://repositorio.ufc.br/handle/riufc/19972</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R. J. S. Sampaio, “Transição energética justa frente à expansão das energias renováveis no semiárido nordestino: aspectos jurídicos e socioambientais dos conflitos sob a instalação de parques eólicos,” thesis, 2024. [Online]. Available: https://openalex.org/W7119428023</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I. Bojczuk, “Growing the cloud at the ‘corner of the Atlantic’: Fortaleza as a digital infrastructure hub amidst AI-renewable energy paradigms in Brazil,” in </w:t>
      </w:r>
      <w:r>
        <w:rPr>
          <w:rFonts w:ascii="Times New Roman" w:cs="Times New Roman" w:eastAsia="Times New Roman" w:hAnsi="Times New Roman"/>
          <w:i/>
          <w:iCs/>
          <w:sz w:val="16"/>
          <w:szCs w:val="16"/>
        </w:rPr>
        <w:t xml:space="preserve">Palgrave Studies in European Communication Research and Education</w:t>
      </w:r>
      <w:r>
        <w:rPr>
          <w:rFonts w:ascii="Times New Roman" w:cs="Times New Roman" w:eastAsia="Times New Roman" w:hAnsi="Times New Roman"/>
          <w:sz w:val="16"/>
          <w:szCs w:val="16"/>
        </w:rPr>
        <w:t xml:space="preserve">, 2026, pp. 73–96, doi: 10.1007/978-3-032-09748-4_4.</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D. Brochado, “Data centers no Ceará,” </w:t>
      </w:r>
      <w:r>
        <w:rPr>
          <w:rFonts w:ascii="Times New Roman" w:cs="Times New Roman" w:eastAsia="Times New Roman" w:hAnsi="Times New Roman"/>
          <w:i/>
          <w:iCs/>
          <w:sz w:val="16"/>
          <w:szCs w:val="16"/>
        </w:rPr>
        <w:t xml:space="preserve">Revista Juridicidade Constitucional e Democracia</w:t>
      </w:r>
      <w:r>
        <w:rPr>
          <w:rFonts w:ascii="Times New Roman" w:cs="Times New Roman" w:eastAsia="Times New Roman" w:hAnsi="Times New Roman"/>
          <w:sz w:val="16"/>
          <w:szCs w:val="16"/>
        </w:rPr>
        <w:t xml:space="preserve">, vol. 3, no. 5, pp. 25–58, 2025, doi: 10.59776/2965-3290.2025.7630.</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E. D. Cartwright, “The environmental justice and community impacts of data centers,” </w:t>
      </w:r>
      <w:r>
        <w:rPr>
          <w:rFonts w:ascii="Times New Roman" w:cs="Times New Roman" w:eastAsia="Times New Roman" w:hAnsi="Times New Roman"/>
          <w:i/>
          <w:iCs/>
          <w:sz w:val="16"/>
          <w:szCs w:val="16"/>
        </w:rPr>
        <w:t xml:space="preserve">Climate and Energy</w:t>
      </w:r>
      <w:r>
        <w:rPr>
          <w:rFonts w:ascii="Times New Roman" w:cs="Times New Roman" w:eastAsia="Times New Roman" w:hAnsi="Times New Roman"/>
          <w:sz w:val="16"/>
          <w:szCs w:val="16"/>
        </w:rPr>
        <w:t xml:space="preserve">, vol. 42, no. 7, pp. 15–17, 2026, doi: 10.1002/gas.70012.</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C. Young, “Clouds on the horizon: An integrative review of data centers and local governance in the United States,” </w:t>
      </w:r>
      <w:r>
        <w:rPr>
          <w:rFonts w:ascii="Times New Roman" w:cs="Times New Roman" w:eastAsia="Times New Roman" w:hAnsi="Times New Roman"/>
          <w:i/>
          <w:iCs/>
          <w:sz w:val="16"/>
          <w:szCs w:val="16"/>
        </w:rPr>
        <w:t xml:space="preserve">Oxford Open Energy</w:t>
      </w:r>
      <w:r>
        <w:rPr>
          <w:rFonts w:ascii="Times New Roman" w:cs="Times New Roman" w:eastAsia="Times New Roman" w:hAnsi="Times New Roman"/>
          <w:sz w:val="16"/>
          <w:szCs w:val="16"/>
        </w:rPr>
        <w:t xml:space="preserve">, vol. 5, 2026, doi: 10.1093/ooenergy/oiag006.</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M. Martinez, G. Hsu, and T. Sengupta, “Environmental justice call and response: Transformative justice and the methods in resistance to data centers in the Great Lakes region,” working draft, SSRN, Feb. 2026, doi: 10.2139/ssrn.6233060.</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D. A. Ferraz and P. R. A. Viegas, “Data centers, energy and regulation: Legal and economic challenges for digital infrastructure in Brazil,” </w:t>
      </w:r>
      <w:r>
        <w:rPr>
          <w:rFonts w:ascii="Times New Roman" w:cs="Times New Roman" w:eastAsia="Times New Roman" w:hAnsi="Times New Roman"/>
          <w:i/>
          <w:iCs/>
          <w:sz w:val="16"/>
          <w:szCs w:val="16"/>
        </w:rPr>
        <w:t xml:space="preserve">ARACÊ</w:t>
      </w:r>
      <w:r>
        <w:rPr>
          <w:rFonts w:ascii="Times New Roman" w:cs="Times New Roman" w:eastAsia="Times New Roman" w:hAnsi="Times New Roman"/>
          <w:sz w:val="16"/>
          <w:szCs w:val="16"/>
        </w:rPr>
        <w:t xml:space="preserve">, vol. 8, no. 1, e11620, 2026, doi: 10.56238/arev8n1-016.</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Z. Revista, “Environmental impact of data centers in Brazil: A quantitative analysis of energy and water consumption in the context of the REDATA policy framework,” Zenodo, Feb. 14, 2026, doi: 10.5281/zenodo.18639445. [Preprint; authorship not independently verified.]</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Câmara dos Deputados, “Câmara aprova incentivo fiscal para investimentos em centros de processamento de dados,” Agência Câmara de Notícias, Feb. 25, 2026; and “Medida provisória busca impulsionar instalação de datacenters no Brasil,” Sept. 2025.</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Ministério do Meio Ambiente e Mudança do Clima, “Consulta pública sobre regulamentação de regime especial para datacenters debate critérios e indicadores de sustentabilidade,” gov.br, Oct. 1, 2025.</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R. H. M. Pereira and C. N. Gonçalves, “geobr: Loads shapefiles of official spatial data sets of Brazil,” IPEA, 2019; prepared-data release v2.0.0. Boundaries © IBGE; conservation units © MMA/CNUC; indigenous lands © FUNAI.</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Operador Nacional do Sistema Elétrico, “Dados Abertos: subestação, linha de transmissão, capacidade de geração, geração por usina, carga de energia, balanço de energia,” dados.ons.org.br, accessed May 21, 2026.</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Operador Nacional do Sistema Elétrico, “Restrição de operação por constrained-off de usinas eólicas e fotovoltaicas,” Dados Abertos, Oct. 2021–May 2026, accessed May 25, 2026.</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Global Energy Monitor, Global Solar, Wind, Hydropower, Bioenergy, Oil and Gas, Coal, Nuclear, and Geothermal Power Trackers (Portal Energético workbook dated Mar. 24, 2026), CC BY 4.0.</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PeeringDB, “Facility records, country = BR,” peeringdb.com, accessed May 25, 2026.</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OpenStreetMap contributors, elements tagged telecom=data_center in Brazil, retrieved via the Overpass API, May 25, 2026. Data © OpenStreetMap contributors, ODbL 1.0.</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[24]	</w:t>
      </w:r>
      <w:r>
        <w:rPr>
          <w:rFonts w:ascii="Times New Roman" w:cs="Times New Roman" w:eastAsia="Times New Roman" w:hAnsi="Times New Roman"/>
          <w:sz w:val="16"/>
          <w:szCs w:val="16"/>
        </w:rPr>
        <w:t xml:space="preserve">MapBiomas Project, “Collection of annual land use and land cover maps of Brazil, 2024,” 30 m, mapbiomas.org, CC BY 4.0.</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[25]	</w:t>
      </w:r>
      <w:r>
        <w:rPr>
          <w:rFonts w:ascii="Times New Roman" w:cs="Times New Roman" w:eastAsia="Times New Roman" w:hAnsi="Times New Roman"/>
          <w:sz w:val="16"/>
          <w:szCs w:val="16"/>
        </w:rPr>
        <w:t xml:space="preserve">European Space Agency, Copernicus Sentinel-1 GRD and Sentinel-2 Level-2A harmonized surface reflectance, 2021–2026. Contains modified Copernicus Sentinel data processed by ESA.</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[26]	</w:t>
      </w:r>
      <w:r>
        <w:rPr>
          <w:rFonts w:ascii="Times New Roman" w:cs="Times New Roman" w:eastAsia="Times New Roman" w:hAnsi="Times New Roman"/>
          <w:sz w:val="16"/>
          <w:szCs w:val="16"/>
        </w:rPr>
        <w:t xml:space="preserve">N. Gorelick, M. Hancher, M. Dixon, S. Ilyushchenko, D. Thau, and R. Moore, “Google Earth Engine: Planetary-scale geospatial analysis for everyone,” </w:t>
      </w:r>
      <w:r>
        <w:rPr>
          <w:rFonts w:ascii="Times New Roman" w:cs="Times New Roman" w:eastAsia="Times New Roman" w:hAnsi="Times New Roman"/>
          <w:i/>
          <w:iCs/>
          <w:sz w:val="16"/>
          <w:szCs w:val="16"/>
        </w:rPr>
        <w:t xml:space="preserve">Remote Sens. Environ.</w:t>
      </w:r>
      <w:r>
        <w:rPr>
          <w:rFonts w:ascii="Times New Roman" w:cs="Times New Roman" w:eastAsia="Times New Roman" w:hAnsi="Times New Roman"/>
          <w:sz w:val="16"/>
          <w:szCs w:val="16"/>
        </w:rPr>
        <w:t xml:space="preserve">, vol. 202, pp. 18–27, 2017.</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[27]	</w:t>
      </w:r>
      <w:r>
        <w:rPr>
          <w:rFonts w:ascii="Times New Roman" w:cs="Times New Roman" w:eastAsia="Times New Roman" w:hAnsi="Times New Roman"/>
          <w:sz w:val="16"/>
          <w:szCs w:val="16"/>
        </w:rPr>
        <w:t xml:space="preserve">Uber Technologies, “H3: Hexagonal hierarchical geospatial indexing system,” h3geo.org, Apache 2.0.</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[28]	</w:t>
      </w:r>
      <w:r>
        <w:rPr>
          <w:rFonts w:ascii="Times New Roman" w:cs="Times New Roman" w:eastAsia="Times New Roman" w:hAnsi="Times New Roman"/>
          <w:sz w:val="16"/>
          <w:szCs w:val="16"/>
        </w:rPr>
        <w:t xml:space="preserve">G. Smith, “brazil-dc: Sovereign Compute Nexus,” GitHub repository and interactive explorer, 2026. [Online]. Available: https://github.com/giasmith/brazil-dc</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[29]	</w:t>
      </w:r>
      <w:r>
        <w:rPr>
          <w:rFonts w:ascii="Times New Roman" w:cs="Times New Roman" w:eastAsia="Times New Roman" w:hAnsi="Times New Roman"/>
          <w:sz w:val="16"/>
          <w:szCs w:val="16"/>
        </w:rPr>
        <w:t xml:space="preserve">G. Rediske et al., “Multi-criteria decision-making model for assessment of large photovoltaic farms in Brazil,” </w:t>
      </w:r>
      <w:r>
        <w:rPr>
          <w:rFonts w:ascii="Times New Roman" w:cs="Times New Roman" w:eastAsia="Times New Roman" w:hAnsi="Times New Roman"/>
          <w:i/>
          <w:iCs/>
          <w:sz w:val="16"/>
          <w:szCs w:val="16"/>
        </w:rPr>
        <w:t xml:space="preserve">Energy</w:t>
      </w:r>
      <w:r>
        <w:rPr>
          <w:rFonts w:ascii="Times New Roman" w:cs="Times New Roman" w:eastAsia="Times New Roman" w:hAnsi="Times New Roman"/>
          <w:sz w:val="16"/>
          <w:szCs w:val="16"/>
        </w:rPr>
        <w:t xml:space="preserve">, vol. 197, 117167, 2020, doi: 10.1016/j.energy.2020.117167.</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[30]	</w:t>
      </w:r>
      <w:r>
        <w:rPr>
          <w:rFonts w:ascii="Times New Roman" w:cs="Times New Roman" w:eastAsia="Times New Roman" w:hAnsi="Times New Roman"/>
          <w:sz w:val="16"/>
          <w:szCs w:val="16"/>
        </w:rPr>
        <w:t xml:space="preserve">L. Garbellini et al., “Spatial multi-criteria decision-making for onshore wind farm site selection in Brazil,” </w:t>
      </w:r>
      <w:r>
        <w:rPr>
          <w:rFonts w:ascii="Times New Roman" w:cs="Times New Roman" w:eastAsia="Times New Roman" w:hAnsi="Times New Roman"/>
          <w:i/>
          <w:iCs/>
          <w:sz w:val="16"/>
          <w:szCs w:val="16"/>
        </w:rPr>
        <w:t xml:space="preserve">Trans. Energy Sustain.</w:t>
      </w:r>
      <w:r>
        <w:rPr>
          <w:rFonts w:ascii="Times New Roman" w:cs="Times New Roman" w:eastAsia="Times New Roman" w:hAnsi="Times New Roman"/>
          <w:sz w:val="16"/>
          <w:szCs w:val="16"/>
        </w:rPr>
        <w:t xml:space="preserve">, vol. 2, no. 2, pp. 115–139, 2026, doi: 10.1177/29768632261445736 (preprint 2024, doi: 10.21203/rs.3.rs-5137163/v1).</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[31]	</w:t>
      </w:r>
      <w:r>
        <w:rPr>
          <w:rFonts w:ascii="Times New Roman" w:cs="Times New Roman" w:eastAsia="Times New Roman" w:hAnsi="Times New Roman"/>
          <w:sz w:val="16"/>
          <w:szCs w:val="16"/>
        </w:rPr>
        <w:t xml:space="preserve">E. Chiarani et al., “Optimal site selection using GIS-based multi-criteria decision analysis (MCDA): A case study of concentrated solar power plants in Brazil,” </w:t>
      </w:r>
      <w:r>
        <w:rPr>
          <w:rFonts w:ascii="Times New Roman" w:cs="Times New Roman" w:eastAsia="Times New Roman" w:hAnsi="Times New Roman"/>
          <w:i/>
          <w:iCs/>
          <w:sz w:val="16"/>
          <w:szCs w:val="16"/>
        </w:rPr>
        <w:t xml:space="preserve">Anuário do Instituto de Geociências</w:t>
      </w:r>
      <w:r>
        <w:rPr>
          <w:rFonts w:ascii="Times New Roman" w:cs="Times New Roman" w:eastAsia="Times New Roman" w:hAnsi="Times New Roman"/>
          <w:sz w:val="16"/>
          <w:szCs w:val="16"/>
        </w:rPr>
        <w:t xml:space="preserve">, vol. 46, 2023, doi: 10.11137/1982-3908_2023_46_48188.</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[32]	</w:t>
      </w:r>
      <w:r>
        <w:rPr>
          <w:rFonts w:ascii="Times New Roman" w:cs="Times New Roman" w:eastAsia="Times New Roman" w:hAnsi="Times New Roman"/>
          <w:sz w:val="16"/>
          <w:szCs w:val="16"/>
        </w:rPr>
        <w:t xml:space="preserve">R. D. F. de Godoy, R. de C. Macedo, and N. B. da Luz, “Overlap between conservation units and traditional territories: Socio-environmental implications,” </w:t>
      </w:r>
      <w:r>
        <w:rPr>
          <w:rFonts w:ascii="Times New Roman" w:cs="Times New Roman" w:eastAsia="Times New Roman" w:hAnsi="Times New Roman"/>
          <w:i/>
          <w:iCs/>
          <w:sz w:val="16"/>
          <w:szCs w:val="16"/>
        </w:rPr>
        <w:t xml:space="preserve">Raega – O Espaço Geográfico em Análise</w:t>
      </w:r>
      <w:r>
        <w:rPr>
          <w:rFonts w:ascii="Times New Roman" w:cs="Times New Roman" w:eastAsia="Times New Roman" w:hAnsi="Times New Roman"/>
          <w:sz w:val="16"/>
          <w:szCs w:val="16"/>
        </w:rPr>
        <w:t xml:space="preserve">, vol. 65, no. 1, pp. 199–224, 2026, doi: 10.5380/raega.v65i1.103532.</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[33]	</w:t>
      </w:r>
      <w:r>
        <w:rPr>
          <w:rFonts w:ascii="Times New Roman" w:cs="Times New Roman" w:eastAsia="Times New Roman" w:hAnsi="Times New Roman"/>
          <w:sz w:val="16"/>
          <w:szCs w:val="16"/>
        </w:rPr>
        <w:t xml:space="preserve">Brasil, Constituição da República Federativa do Brasil de 1988, arts. 225 and 231; Lei nº 14.701, de 20 de outubro de 2023; Decreto nº 10.088/2019 (ILO Convention 169).</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[34]	</w:t>
      </w:r>
      <w:r>
        <w:rPr>
          <w:rFonts w:ascii="Times New Roman" w:cs="Times New Roman" w:eastAsia="Times New Roman" w:hAnsi="Times New Roman"/>
          <w:sz w:val="16"/>
          <w:szCs w:val="16"/>
        </w:rPr>
        <w:t xml:space="preserve">Brasil, Lei nº 9.985, de 18 de julho de 2000 (SNUC); Lei nº 6.938/1981; Lei Complementar nº 140/2011; Resolução CONAMA nº 428/2010.</w:t>
      </w:r>
    </w:p>
    <w:sectPr>
      <w:type w:val="continuous"/>
      <w:pgSz w:w="11906" w:h="16838" w:orient="portrait"/>
      <w:pgMar w:top="1440" w:right="1440" w:bottom="1440" w:left="1440" w:header="708" w:footer="708" w:gutter="0"/>
      <w:pgNumType/>
      <w:cols w:space="288"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ReData as Siting Policy</dc:title>
  <dc:creator>Gia Smith</dc:creator>
  <cp:lastModifiedBy>Un-named</cp:lastModifiedBy>
  <cp:revision>1</cp:revision>
  <dcterms:created xsi:type="dcterms:W3CDTF">2026-09-15T20:33:41.705Z</dcterms:created>
  <dcterms:modified xsi:type="dcterms:W3CDTF">2026-09-15T20:33:41.706Z</dcterms:modified>
</cp:coreProperties>
</file>

<file path=docProps/custom.xml><?xml version="1.0" encoding="utf-8"?>
<Properties xmlns="http://schemas.openxmlformats.org/officeDocument/2006/custom-properties" xmlns:vt="http://schemas.openxmlformats.org/officeDocument/2006/docPropsVTypes"/>
</file>