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Lembar kerja 1. Penyusunan skenario kejadian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88"/>
        <w:gridCol w:w="5431"/>
        <w:tblGridChange w:id="0">
          <w:tblGrid>
            <w:gridCol w:w="3588"/>
            <w:gridCol w:w="5431"/>
          </w:tblGrid>
        </w:tblGridChange>
      </w:tblGrid>
      <w:tr>
        <w:trPr>
          <w:cantSplit w:val="0"/>
          <w:trHeight w:val="1494" w:hRule="atLeast"/>
          <w:tblHeader w:val="0"/>
        </w:trPr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0" w:line="229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Ekstrim (Angin Kencang)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Temanggung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395" w:right="138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Karakter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2176" w:right="216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ns6tb48be5u3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Waktu kejadian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Peringatan Bahaya Diterima Pukul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Lama kejadian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± 30–45 menit (terjadi secara tiba-tiba dan berlangsung singkat namun intens)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Luas daerah terdampak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Desa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Potensi bencana ikutan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Pohon tumbang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Kabel listrik putus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Gangguan akses jalan karena reruntuhan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Kerusakan Infrastruktur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Kerusakan lahan produktif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WSsFcWBXvk43Yd0J3MwFwuTjQw==">CgMxLjAyDmgubnM2dGI0OGJlNXUzOAByITFzSjlLcTRqblpSRXNOeTBMQUFlOFJhTXh1Z0IwWnZOSQ==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