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1552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eading=h.oyv18fv3skhx" w:id="0"/>
      <w:bookmarkEnd w:id="0"/>
      <w:r w:rsidDel="00000000" w:rsidR="00000000" w:rsidRPr="00000000">
        <w:rPr>
          <w:rtl w:val="0"/>
        </w:rPr>
        <w:t xml:space="preserve">Lembar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kerja 2. Penyusunan skenario dampak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5"/>
        <w:gridCol w:w="4163"/>
        <w:gridCol w:w="3349"/>
        <w:tblGridChange w:id="0">
          <w:tblGrid>
            <w:gridCol w:w="1505"/>
            <w:gridCol w:w="4163"/>
            <w:gridCol w:w="3349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Ekstrim (Angin Kencang)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8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restart"/>
            <w:shd w:fill="cccccc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54" w:line="240" w:lineRule="auto"/>
              <w:ind w:left="515" w:right="506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Aset</w:t>
            </w:r>
          </w:p>
        </w:tc>
        <w:tc>
          <w:tcPr>
            <w:gridSpan w:val="2"/>
            <w:shd w:fill="ccccc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74" w:right="2065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Perkiraan Bentuk Risiko Pada Aset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vMerge w:val="continue"/>
            <w:shd w:fill="cccccc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9" w:right="144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Bentuk Risiko</w:t>
            </w:r>
          </w:p>
        </w:tc>
        <w:tc>
          <w:tcPr>
            <w:shd w:fill="d0cece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3" w:right="1321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Jumlah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Manusia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Cedera akibat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tertimpa bangunan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Luka karena pecahan kaca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Cedera akibat tertimpa pohon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Trauma/ketakutan pascabencana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Kematian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Sosial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Gangguan koordinasi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lembaga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Ekonomi/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Finansial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Kehilangan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penghasilan harian lahan (Pemilik lahan)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107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Rusaknya Warun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Aset pertanian rusak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Harta benda pribadi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masyarakat hilang/rusak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Fisik/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Infrastruktur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Rumah roboh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Listrik padam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desa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Sekolah rusak</w:t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Alam/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Lingkungan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Pohon tumbang</w:t>
            </w:r>
          </w:p>
        </w:tc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Sampah/polusi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pascabencana</w:t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dusun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gif1eUyJZgLtXnBmbgquLChY4g==">CgMxLjAyDmgub3l2MThmdjNza2h4OAByITFRMkU1WXhUaWRxZFQ4TjBvck9ZbU1RbFZmS3p0aUhVVw==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