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before="120" w:line="360" w:lineRule="auto"/>
        <w:jc w:val="center"/>
        <w:rPr>
          <w:sz w:val="28"/>
          <w:szCs w:val="28"/>
        </w:rPr>
      </w:pPr>
      <w:r w:rsidDel="00000000" w:rsidR="00000000" w:rsidRPr="00000000">
        <w:rPr>
          <w:sz w:val="28"/>
          <w:szCs w:val="28"/>
          <w:rtl w:val="0"/>
        </w:rPr>
        <w:t xml:space="preserve">Lembar kerja Penyusunan sistem peringatan dini</w:t>
      </w:r>
    </w:p>
    <w:tbl>
      <w:tblPr>
        <w:tblStyle w:val="Table1"/>
        <w:tblW w:w="991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84"/>
        <w:gridCol w:w="7229"/>
        <w:tblGridChange w:id="0">
          <w:tblGrid>
            <w:gridCol w:w="2684"/>
            <w:gridCol w:w="7229"/>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2">
            <w:pPr>
              <w:tabs>
                <w:tab w:val="left" w:leader="none" w:pos="1687"/>
              </w:tabs>
              <w:spacing w:line="240" w:lineRule="auto"/>
              <w:jc w:val="both"/>
              <w:rPr>
                <w:b w:val="1"/>
                <w:bCs w:val="1"/>
                <w:sz w:val="28"/>
                <w:szCs w:val="28"/>
              </w:rPr>
            </w:pPr>
            <w:r w:rsidDel="00000000" w:rsidR="00000000" w:rsidRPr="00000000">
              <w:rPr>
                <w:b w:val="1"/>
                <w:bCs w:val="1"/>
                <w:sz w:val="28"/>
                <w:szCs w:val="28"/>
                <w:rtl w:val="0"/>
              </w:rPr>
              <w:t xml:space="preserve">Jenis ancaman</w:t>
              <w:tab/>
              <w:t xml:space="preserve">: Cuaca Ekstrem (Angin Kencang)</w:t>
            </w:r>
          </w:p>
          <w:p w:rsidR="00000000" w:rsidDel="00000000" w:rsidP="00000000" w:rsidRDefault="00000000" w:rsidRPr="00000000" w14:paraId="00000003">
            <w:pPr>
              <w:tabs>
                <w:tab w:val="left" w:leader="none" w:pos="1687"/>
              </w:tabs>
              <w:spacing w:line="240" w:lineRule="auto"/>
              <w:jc w:val="both"/>
              <w:rPr>
                <w:b w:val="1"/>
                <w:bCs w:val="1"/>
                <w:sz w:val="28"/>
                <w:szCs w:val="28"/>
              </w:rPr>
            </w:pPr>
            <w:r w:rsidDel="00000000" w:rsidR="00000000" w:rsidRPr="00000000">
              <w:rPr>
                <w:b w:val="1"/>
                <w:bCs w:val="1"/>
                <w:sz w:val="28"/>
                <w:szCs w:val="28"/>
                <w:rtl w:val="0"/>
              </w:rPr>
              <w:t xml:space="preserve">Desa/Kel</w:t>
              <w:tab/>
              <w:t xml:space="preserve">      : Desa Medari</w:t>
            </w:r>
          </w:p>
          <w:p w:rsidR="00000000" w:rsidDel="00000000" w:rsidP="00000000" w:rsidRDefault="00000000" w:rsidRPr="00000000" w14:paraId="00000004">
            <w:pPr>
              <w:tabs>
                <w:tab w:val="left" w:leader="none" w:pos="1687"/>
              </w:tabs>
              <w:spacing w:line="240" w:lineRule="auto"/>
              <w:jc w:val="both"/>
              <w:rPr>
                <w:b w:val="1"/>
                <w:bCs w:val="1"/>
                <w:sz w:val="28"/>
                <w:szCs w:val="28"/>
              </w:rPr>
            </w:pPr>
            <w:r w:rsidDel="00000000" w:rsidR="00000000" w:rsidRPr="00000000">
              <w:rPr>
                <w:b w:val="1"/>
                <w:bCs w:val="1"/>
                <w:sz w:val="28"/>
                <w:szCs w:val="28"/>
                <w:rtl w:val="0"/>
              </w:rPr>
              <w:t xml:space="preserve">Kecamatan</w:t>
              <w:tab/>
              <w:t xml:space="preserve">      : Kecamatan Ngadirejo</w:t>
            </w:r>
          </w:p>
          <w:p w:rsidR="00000000" w:rsidDel="00000000" w:rsidP="00000000" w:rsidRDefault="00000000" w:rsidRPr="00000000" w14:paraId="00000005">
            <w:pPr>
              <w:tabs>
                <w:tab w:val="left" w:leader="none" w:pos="1687"/>
              </w:tabs>
              <w:spacing w:line="240" w:lineRule="auto"/>
              <w:jc w:val="both"/>
              <w:rPr>
                <w:b w:val="1"/>
                <w:bCs w:val="1"/>
                <w:sz w:val="28"/>
                <w:szCs w:val="28"/>
              </w:rPr>
            </w:pPr>
            <w:r w:rsidDel="00000000" w:rsidR="00000000" w:rsidRPr="00000000">
              <w:rPr>
                <w:b w:val="1"/>
                <w:bCs w:val="1"/>
                <w:sz w:val="28"/>
                <w:szCs w:val="28"/>
                <w:rtl w:val="0"/>
              </w:rPr>
              <w:t xml:space="preserve">Kabupaten/Kota</w:t>
              <w:tab/>
              <w:t xml:space="preserve">: Kabupaten Temanggung</w:t>
            </w:r>
          </w:p>
          <w:p w:rsidR="00000000" w:rsidDel="00000000" w:rsidP="00000000" w:rsidRDefault="00000000" w:rsidRPr="00000000" w14:paraId="00000006">
            <w:pPr>
              <w:tabs>
                <w:tab w:val="left" w:leader="none" w:pos="1687"/>
              </w:tabs>
              <w:spacing w:line="240" w:lineRule="auto"/>
              <w:jc w:val="both"/>
              <w:rPr/>
            </w:pPr>
            <w:r w:rsidDel="00000000" w:rsidR="00000000" w:rsidRPr="00000000">
              <w:rPr>
                <w:b w:val="1"/>
                <w:bCs w:val="1"/>
                <w:sz w:val="28"/>
                <w:szCs w:val="28"/>
                <w:rtl w:val="0"/>
              </w:rPr>
              <w:t xml:space="preserve">Provinsi</w:t>
              <w:tab/>
              <w:t xml:space="preserve">      : Jawa Tengah</w:t>
            </w:r>
            <w:r w:rsidDel="00000000" w:rsidR="00000000" w:rsidRPr="00000000">
              <w:rPr>
                <w:rtl w:val="0"/>
              </w:rPr>
            </w:r>
          </w:p>
        </w:tc>
      </w:tr>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28"/>
                <w:szCs w:val="28"/>
              </w:rPr>
            </w:pPr>
            <w:r w:rsidDel="00000000" w:rsidR="00000000" w:rsidRPr="00000000">
              <w:rPr>
                <w:sz w:val="28"/>
                <w:szCs w:val="28"/>
                <w:rtl w:val="0"/>
              </w:rPr>
              <w:t xml:space="preserve">Pemantauan dan Peringatan Bahaya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Sumber peringatan bahaya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Informasi resmi dari BMKG dan BPBD Kabupaten Temanggung, serta hasil pemantauan pemerintah desa, perangkat desa, RT/RW, relawan dan masyarakat di wilayah Desa Medari.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Bentuk peringatan bahaya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Informasi prakiraan cuaca dan peringatan dini melalui pesan tertulis, seperti WhatsApp, serta melalui penyampaian lisan, pengeras suara, dan sarana peringatan lain yang tersedia di desa.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Cara pemantauan bahaya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Pemantauan bahaya dilakukan dengan mengikuti informasi peringatan dini cuaca dari BMKG, mengamati perubahan kondisi cuaca dan kecepatan angin, serta melakukan pemantauan langsung terhadap kondisi lingkungan yang berpotensi terdampak, seperti pohon besar, tiang listrik, atap rumah, dan bangunan yang tidak kokoh.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Cara penyampaian bahaya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Informasi bahaya disampaikan secara berurutan dari sumber informasi resmi kepada pemerintah desa, kemudian diteruskan kepada kepala dusun, RT/RW, relawan, dan masyarakat melalui grup komunikasi, telepon, pengeras suara, maupun penyampaian secara langsung.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bookmarkStart w:colFirst="0" w:colLast="0" w:name="_jkacjnbassof" w:id="0"/>
            <w:bookmarkEnd w:id="0"/>
            <w:r w:rsidDel="00000000" w:rsidR="00000000" w:rsidRPr="00000000">
              <w:rPr>
                <w:sz w:val="28"/>
                <w:szCs w:val="28"/>
                <w:rtl w:val="0"/>
              </w:rPr>
              <w:t xml:space="preserve">Cara memastikan kebenaran peringatan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Melakukan pengecekan terhadap sumber informasi resmi BMKG atau BPBD, mengonfirmasi informasi kepada pemerintah desa atau pihak yang berwenang, serta melakukan verifikasi kondisi di lapangan sebelum informasi disebarluaskan secara lebih luas. </w:t>
            </w:r>
          </w:p>
        </w:tc>
      </w:tr>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1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28"/>
                <w:szCs w:val="28"/>
              </w:rPr>
            </w:pPr>
            <w:r w:rsidDel="00000000" w:rsidR="00000000" w:rsidRPr="00000000">
              <w:rPr>
                <w:sz w:val="28"/>
                <w:szCs w:val="28"/>
                <w:rtl w:val="0"/>
              </w:rPr>
              <w:t xml:space="preserve">Penyebarluasan Peringatan Bahaya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Penyampai peringatan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Peringatan disampaikan oleh pemerintah Desa Medari melalui perangkat desa, kepala dusun, ketua RT/RW, FPRB dan tim relawan, serta dapat dibantu oleh tokoh masyarakat dan tokoh agama.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Sasaran peringatan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Sasaran seluruh masyarakat Desa Medari, terutama masyarakat yang tinggal di wilayah yang masuk dalam zona merah (dusun Sobahan, dusun Jiwan, dan dusun Mandi) yang berpotensi terdampak angin kencang, serta kelompok rentan seperti anak-anak, lansia, ibu hamil, dan penyandang disabilitas.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Cara penyampaian peringatan umum dan khusus difabel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Disampaikan melalui WhatsApp, telepon, pengeras suara, pengumuman di tempat ibadah, dan penyampaian langsung oleh RT/RW atau relawan. Bagi penyandang disabilitas, peringatan disampaikan melalui pendamping keluarga, kader, relawan, atau petugas yang ditunjuk dengan menyesuaikan metode komunikasi sesuai kebutuhan masing-masing.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Bentuk peringatan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Berupa pesan tertulis, panggilan telepon, pengumuman melalui pengeras suara, penyampaian langsung dari rumah ke rumah, serta penggunaan sirene atau kentongan.</w:t>
            </w:r>
          </w:p>
        </w:tc>
      </w:tr>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1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sz w:val="28"/>
                <w:szCs w:val="28"/>
              </w:rPr>
            </w:pPr>
            <w:r w:rsidDel="00000000" w:rsidR="00000000" w:rsidRPr="00000000">
              <w:rPr>
                <w:sz w:val="28"/>
                <w:szCs w:val="28"/>
                <w:rtl w:val="0"/>
              </w:rPr>
              <w:t xml:space="preserve">Respon/Tindakan Terhadap Peringatan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Tindakan RT/RW</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RT/RW menerima dan memastikan kebenaran informasi peringatan, kemudian segera menyampaikannya kepada warga. RT/RW juga melakukan pemantauan kondisi lingkungan, membantu kelompok rentan, mengarahkan masyarakat untuk menjauhi lokasi berbahaya, serta melaporkan kondisi dan kejadian kepada pemerintah desa.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Tindakan Masyarakat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sz w:val="28"/>
                <w:szCs w:val="28"/>
              </w:rPr>
            </w:pPr>
            <w:r w:rsidDel="00000000" w:rsidR="00000000" w:rsidRPr="00000000">
              <w:rPr>
                <w:sz w:val="28"/>
                <w:szCs w:val="28"/>
                <w:rtl w:val="0"/>
              </w:rPr>
              <w:t xml:space="preserve">Segera mengikuti peringatan yang disampaikan oleh sumber resmi dengan berlindung di tempat yang aman, menjauhi pohon besar, tiang listrik, bangunan yang berpotensi roboh, dan benda-benda yang mudah terbang dengan membawa tas siaga bencana yang telah dipersiapkan sebelumnya. Masyarakat juga mengamankan barang-barang di sekitar rumah, membantu anggota keluarga atau tetangga yang membutuhkan bantuan, serta melaporkan kejadian dan kerusakan kepada RT?RW atau pemerintah desa. </w:t>
            </w:r>
          </w:p>
        </w:tc>
      </w:tr>
    </w:tbl>
    <w:p w:rsidR="00000000" w:rsidDel="00000000" w:rsidP="00000000" w:rsidRDefault="00000000" w:rsidRPr="00000000" w14:paraId="00000024">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