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sz w:val="28"/>
        </w:rPr>
        <w:t>Gestão: o Alicerce Invisível da Nova Economia</w:t>
      </w:r>
    </w:p>
    <w:p>
      <w:pPr>
        <w:spacing w:after="360"/>
        <w:jc w:val="center"/>
      </w:pPr>
      <w:r>
        <w:rPr>
          <w:rFonts w:ascii="Times New Roman" w:hAnsi="Times New Roman"/>
          <w:i/>
          <w:sz w:val="24"/>
        </w:rPr>
        <w:t>Gilberto Sena</w:t>
      </w:r>
    </w:p>
    <w:p>
      <w:pPr>
        <w:spacing w:line="240" w:lineRule="auto" w:after="80"/>
        <w:ind w:left="4535"/>
        <w:jc w:val="both"/>
      </w:pPr>
      <w:r>
        <w:rPr>
          <w:rFonts w:ascii="Times New Roman" w:hAnsi="Times New Roman"/>
          <w:i/>
          <w:sz w:val="20"/>
        </w:rPr>
        <w:t>"Os 5 Gs da gestão, que detalhei ao longo dessas páginas não são meras teorias, até porque, eu não sou um acadêmico, não sou um homem de teorias. Pelo contrário, são, de fato, a essência da minha prática."</w:t>
      </w:r>
    </w:p>
    <w:p>
      <w:pPr>
        <w:spacing w:after="480"/>
        <w:ind w:left="4535"/>
        <w:jc w:val="right"/>
      </w:pPr>
      <w:r>
        <w:rPr>
          <w:rFonts w:ascii="Times New Roman" w:hAnsi="Times New Roman"/>
          <w:i/>
          <w:sz w:val="20"/>
        </w:rPr>
        <w:t>— Os 5 G's da Gestão Empreendedora</w:t>
      </w:r>
    </w:p>
    <w:p>
      <w:pPr>
        <w:spacing w:before="360" w:after="160"/>
        <w:jc w:val="both"/>
      </w:pPr>
      <w:r>
        <w:rPr>
          <w:rFonts w:ascii="Times New Roman" w:hAnsi="Times New Roman"/>
          <w:b/>
          <w:sz w:val="24"/>
        </w:rPr>
        <w:t>Introdução</w:t>
      </w:r>
    </w:p>
    <w:p>
      <w:pPr>
        <w:spacing w:line="360" w:lineRule="auto" w:after="0"/>
        <w:ind w:firstLine="709"/>
        <w:jc w:val="both"/>
      </w:pPr>
      <w:r>
        <w:rPr>
          <w:rFonts w:ascii="Times New Roman" w:hAnsi="Times New Roman"/>
          <w:sz w:val="24"/>
        </w:rPr>
        <w:t>Há pouco mais de doze anos, eu estava numa moto, entregando encomenda, correndo contra o relógio pra fechar a meta do dia. Antes disso, fui servente de pedreiro, fui camelô, tive um carrinho de cachorro-quente na rua. Hoje sou fundador e CEO do Grupo Sena Soluções Empresariais, com sede em Belo Horizonte e atuação em seis estados brasileiros, e assino, com orgulho, um capítulo ao lado de um dos maiores nomes empresariais do país sobre o tema que mais me apaixona: como construir negócios que duram, escalam e transformam.</w:t>
      </w:r>
    </w:p>
    <w:p>
      <w:pPr>
        <w:spacing w:line="360" w:lineRule="auto" w:after="0"/>
        <w:ind w:firstLine="709"/>
        <w:jc w:val="both"/>
      </w:pPr>
      <w:r>
        <w:rPr>
          <w:rFonts w:ascii="Times New Roman" w:hAnsi="Times New Roman"/>
          <w:sz w:val="24"/>
        </w:rPr>
        <w:t>Conto essa trajetória não por vaidade, mas porque ela é o ponto de partida obrigatório deste texto. Quando me convidaram para escrever sobre a Nova Economia, a expectativa implícita, eu sei, era de que um profissional da área contábil e tributária escrevesse sobre conformidade, sobre obrigação acessória, sobre a letra fria da lei. Eu escolhi um caminho diferente. Escolho reinterpretar a minha profissão — e não abandoná-la — dentro dos cinco pilares que estruturam esta obra: influência, inovação, criação de valor, escalabilidade e impacto.</w:t>
      </w:r>
    </w:p>
    <w:p>
      <w:pPr>
        <w:spacing w:line="360" w:lineRule="auto" w:after="0"/>
        <w:ind w:firstLine="709"/>
        <w:jc w:val="both"/>
      </w:pPr>
      <w:r>
        <w:rPr>
          <w:rFonts w:ascii="Times New Roman" w:hAnsi="Times New Roman"/>
          <w:sz w:val="24"/>
        </w:rPr>
        <w:t>Minha tese é simples de enunciar e difícil de aceitar por quem ainda enxerga a gestão financeira e tributária como departamento de suporte: nenhum negócio da Nova Economia — por mais disruptivo, digital ou influente que seja — sobrevive, escala ou gera impacto real sem uma estrutura de gestão sólida por trás. A tecnologia muda o produto. A gestão sustenta a empresa. E é exatamente aí, no alicerce invisível, que proponho que o leitor me acompanhe.</w:t>
      </w:r>
    </w:p>
    <w:p>
      <w:pPr>
        <w:spacing w:line="360" w:lineRule="auto" w:after="0"/>
        <w:ind w:firstLine="709"/>
        <w:jc w:val="both"/>
      </w:pPr>
      <w:r>
        <w:rPr>
          <w:rFonts w:ascii="Times New Roman" w:hAnsi="Times New Roman"/>
          <w:sz w:val="24"/>
        </w:rPr>
        <w:t>No livro que escrevi, Os 5 G's da Gestão Empreendedora, sistematizei cinco frentes que considero inegociáveis para qualquer empreendedor: Gestão de Si, Gestão Financeira, Gestão de Pessoas, Gestão Tributária e Gestão de Fornecedores e Clientes. Não são teoria de sala de aula — são a essência de trinta anos de prática, incluindo sete falências que enfrentei ao longo do caminho e das quais me reergui. É esse arcabouço que vou usar, ao longo das próximas páginas, para atravessar os cinco pilares desta obra.</w:t>
      </w:r>
    </w:p>
    <w:p>
      <w:pPr>
        <w:spacing w:before="360" w:after="160"/>
        <w:jc w:val="both"/>
      </w:pPr>
      <w:r>
        <w:rPr>
          <w:rFonts w:ascii="Times New Roman" w:hAnsi="Times New Roman"/>
          <w:b/>
          <w:sz w:val="24"/>
        </w:rPr>
        <w:t>1. Influência: de quem sabe a lei para quem constrói autoridade</w:t>
      </w:r>
    </w:p>
    <w:p>
      <w:pPr>
        <w:spacing w:line="360" w:lineRule="auto" w:after="0"/>
        <w:ind w:firstLine="709"/>
        <w:jc w:val="both"/>
      </w:pPr>
      <w:r>
        <w:rPr>
          <w:rFonts w:ascii="Times New Roman" w:hAnsi="Times New Roman"/>
          <w:sz w:val="24"/>
        </w:rPr>
        <w:t>A Nova Economia redefiniu o que significa ser influente. Não se trata mais de quem tem o maior cargo ou o diploma mais respeitado — trata-se de quem consegue, de fato, mudar a decisão de outra pessoa. Sob essa definição, influência deixou de ser um ativo de artistas e criadores de conteúdo para se tornar um ativo de qualquer profissional que consiga traduzir complexidade em direção clara.</w:t>
      </w:r>
    </w:p>
    <w:p>
      <w:pPr>
        <w:spacing w:line="360" w:lineRule="auto" w:after="0"/>
        <w:ind w:firstLine="709"/>
        <w:jc w:val="both"/>
      </w:pPr>
      <w:r>
        <w:rPr>
          <w:rFonts w:ascii="Times New Roman" w:hAnsi="Times New Roman"/>
          <w:sz w:val="24"/>
        </w:rPr>
        <w:t>Na minha área, essa mudança é radical. Durante décadas, o contador e o consultor tributário foram vistos como figuras de bastidor — quem resolve o problema depois que ele já aconteceu, quem cuida da papelada enquanto o empresário "toca o negócio de verdade". Eu me recuso a operar dentro dessa moldura. A diferença entre o contador tradicional e o gestor que eu me proponho a ser é exatamente essa: o contador diz o que a lei manda; o gestor diz o que fazer com isso. Um entrega informação. O outro entrega decisão.</w:t>
      </w:r>
    </w:p>
    <w:p>
      <w:pPr>
        <w:spacing w:line="360" w:lineRule="auto" w:after="0"/>
        <w:ind w:firstLine="709"/>
        <w:jc w:val="both"/>
      </w:pPr>
      <w:r>
        <w:rPr>
          <w:rFonts w:ascii="Times New Roman" w:hAnsi="Times New Roman"/>
          <w:sz w:val="24"/>
        </w:rPr>
        <w:t>Essa mudança de postura é, ela própria, um exercício de influência. Quando um empresário chega até mim assustado com uma nova exigência fiscal e sai da conversa entendendo não apenas a obrigação, mas o que aquilo significa para o preço do seu produto, para o fluxo de caixa do próximo trimestre, para a decisão de contratar ou não — eu não apenas informei: eu influenciei uma decisão estratégica. Multiplicado por milhares de empresários ao longo de mais de uma década à frente do Grupo Sena, esse tipo de influência silenciosa tem um peso econômico que raramente é contabilizado nas métricas de alcance da Nova Economia, mas que sustenta boa parte dela.</w:t>
      </w:r>
    </w:p>
    <w:p>
      <w:pPr>
        <w:spacing w:line="360" w:lineRule="auto" w:after="0"/>
        <w:ind w:firstLine="709"/>
        <w:jc w:val="both"/>
      </w:pPr>
      <w:r>
        <w:rPr>
          <w:rFonts w:ascii="Times New Roman" w:hAnsi="Times New Roman"/>
          <w:sz w:val="24"/>
        </w:rPr>
        <w:t>Há uma frase que resume minha filosofia sobre o assunto tributário, e que uso com frequência: no veneno está o antídoto. Não aconselho, em hipótese alguma, que um empresário tente contornar ou burlar a legislação — o que parece economia hoje pode se tornar prejuízo grande amanhã. Mas o mesmo conhecimento técnico que assusta o empresário desorganizado é, nas mãos certas, a ferramenta que o protege e o faz crescer. Transformar veneno em antídoto, através de conhecimento aplicado, é a forma mais honesta de influência que conheço — porque não depende de audiência, depende de resultado.</w:t>
      </w:r>
    </w:p>
    <w:p>
      <w:pPr>
        <w:spacing w:line="360" w:lineRule="auto" w:after="0"/>
        <w:ind w:firstLine="709"/>
        <w:jc w:val="both"/>
      </w:pPr>
      <w:r>
        <w:rPr>
          <w:rFonts w:ascii="Times New Roman" w:hAnsi="Times New Roman"/>
          <w:sz w:val="24"/>
        </w:rPr>
        <w:t>Também construí, ao longo dos anos, um canal de conteúdo digital que começou em 2013 e hoje alcança centenas de milhares de pessoas, onde traduzo, quase diariamente, o que está mudando na legislação tributária brasileira para uma linguagem que qualquer empresário entende. Não faço isso para acumular seguidores. Faço isso porque entendi, cedo, que na Nova Economia a autoridade técnica sem tradução acessível é autoridade desperdiçada. Influência real não é o tamanho do público — é a distância que se consegue percorrer entre o conhecimento complexo e a decisão prática de quem precisa dele.</w:t>
      </w:r>
    </w:p>
    <w:p>
      <w:pPr>
        <w:spacing w:before="360" w:after="160"/>
        <w:jc w:val="both"/>
      </w:pPr>
      <w:r>
        <w:rPr>
          <w:rFonts w:ascii="Times New Roman" w:hAnsi="Times New Roman"/>
          <w:b/>
          <w:sz w:val="24"/>
        </w:rPr>
        <w:t>2. Inovação: o método como forma de inovar num setor conservador</w:t>
      </w:r>
    </w:p>
    <w:p>
      <w:pPr>
        <w:spacing w:line="360" w:lineRule="auto" w:after="0"/>
        <w:ind w:firstLine="709"/>
        <w:jc w:val="both"/>
      </w:pPr>
      <w:r>
        <w:rPr>
          <w:rFonts w:ascii="Times New Roman" w:hAnsi="Times New Roman"/>
          <w:sz w:val="24"/>
        </w:rPr>
        <w:t>Quando se fala em inovação na Nova Economia, o imaginário corre imediatamente para startups, inteligência artificial, novos modelos de plataforma. Raramente alguém associa inovação a contabilidade, tributação ou gestão financeira. Essa é, a meu ver, uma leitura incompleta do que significa inovar.</w:t>
      </w:r>
    </w:p>
    <w:p>
      <w:pPr>
        <w:spacing w:line="360" w:lineRule="auto" w:after="0"/>
        <w:ind w:firstLine="709"/>
        <w:jc w:val="both"/>
      </w:pPr>
      <w:r>
        <w:rPr>
          <w:rFonts w:ascii="Times New Roman" w:hAnsi="Times New Roman"/>
          <w:sz w:val="24"/>
        </w:rPr>
        <w:t>Inovação não é apenas criar um produto novo. É, também, criar um método novo para resolver um problema antigo. E poucos setores no Brasil carregam um problema tão antigo, tão mal resolvido e tão urgente quanto a gestão tributária das empresas brasileiras — um problema que, neste exato momento, está sendo redesenhado pela reforma tributária em curso, com a substituição de cinco tributos por um modelo de IVA dual, a extinção de PIS e Cofins, a chegada do split payment e uma transição que se estende até 2033. Trata-se, sem exagero, do maior evento de inovação forçada que o mercado empresarial brasileiro já viveu — e a maioria dos empresários ainda não entendeu o tamanho da mudança que já começou.</w:t>
      </w:r>
    </w:p>
    <w:p>
      <w:pPr>
        <w:spacing w:line="360" w:lineRule="auto" w:after="0"/>
        <w:ind w:firstLine="709"/>
        <w:jc w:val="both"/>
      </w:pPr>
      <w:r>
        <w:rPr>
          <w:rFonts w:ascii="Times New Roman" w:hAnsi="Times New Roman"/>
          <w:sz w:val="24"/>
        </w:rPr>
        <w:t>Minha contribuição pessoal a esse cenário não foi inventar uma nova tecnologia. Foi sistematizar um método. Ao longo da minha trajetória, desenvolvi frameworks próprios que hoje aplico com clientes e ensino a outros gestores: a Escada do Engajamento, que organiza em seis degraus o caminho entre o conhecimento de um colaborador sobre a empresa e seu comprometimento real com ela; a Matriz da Gestão da Comunicação, que obriga qualquer comunicado interno a responder seis perguntas antes de ser enviado; o TRI — Triagem, Resposta, Inovação —, framework que desenvolvi para gerir risco de fornecedores e clientes; e o Geo Ciclo do Grupo Sena, metodologia própria para estruturar e reestruturar negócios de qualquer porte.</w:t>
      </w:r>
    </w:p>
    <w:p>
      <w:pPr>
        <w:spacing w:line="360" w:lineRule="auto" w:after="0"/>
        <w:ind w:firstLine="709"/>
        <w:jc w:val="both"/>
      </w:pPr>
      <w:r>
        <w:rPr>
          <w:rFonts w:ascii="Times New Roman" w:hAnsi="Times New Roman"/>
          <w:sz w:val="24"/>
        </w:rPr>
        <w:t>Nenhum desses frameworks nasceu em uma sala de aula. Nasceram da necessidade prática de resolver, repetidamente, os mesmos problemas que via em empresas diferentes — e da constatação de que ensinar por metodologia, não por improviso, é o que permite que o conhecimento se multiplique além da minha própria agenda. Essa é, para mim, a forma mais honesta de inovação num setor tradicionalmente conservador: não reinventar a lei, mas reinventar a forma como o empresário se relaciona com ela.</w:t>
      </w:r>
    </w:p>
    <w:p>
      <w:pPr>
        <w:spacing w:line="360" w:lineRule="auto" w:after="0"/>
        <w:ind w:firstLine="709"/>
        <w:jc w:val="both"/>
      </w:pPr>
      <w:r>
        <w:rPr>
          <w:rFonts w:ascii="Times New Roman" w:hAnsi="Times New Roman"/>
          <w:sz w:val="24"/>
        </w:rPr>
        <w:t>Há também uma dimensão de inovação na própria filosofia de negócio. Substituí, na gestão de pessoas do Grupo Sena, a avaliação de desempenho formal e burocrática por uma metodologia que chamo de Feedback Alavancado — uma conversa contínua, de abordagem narrativa, que conta a história do que aconteceu em vez de simplesmente apontar o defeito. É uma inovação pequena na superfície, mas profunda no resultado: transforma feedback em construção, não em veredito. E é exatamente esse tipo de inovação — silenciosa, metodológica, replicável — que sustenta negócios capazes de crescer sem perder a alma pelo caminho.</w:t>
      </w:r>
    </w:p>
    <w:p>
      <w:pPr>
        <w:spacing w:line="360" w:lineRule="auto" w:after="0"/>
        <w:ind w:firstLine="709"/>
        <w:jc w:val="both"/>
      </w:pPr>
      <w:r>
        <w:rPr>
          <w:rFonts w:ascii="Times New Roman" w:hAnsi="Times New Roman"/>
          <w:sz w:val="24"/>
        </w:rPr>
        <w:t>Mas a inovação que a reforma exige do gestor não é apenas de posicionamento — é técnica, operacional, e muitas vezes urgente. Desde agosto de 2026, o destaque de IBS e CBS na nota fiscal, ainda que em fase de teste, já é obrigatório para quem está no regime regular; a partir de 2027, PIS e Cofins deixam de existir, o IPI vai a zero, o Imposto Seletivo entra em vigor e o split payment passa a separar automaticamente o imposto no momento do pagamento — o que muda, de forma definitiva, o fluxo de caixa de qualquer empresa que hoje se beneficia do intervalo entre receber e recolher. Gestão técnica, na Nova Economia, deixou de significar apenas dominar a legislação vigente; passou a significar antecipar, com precisão, o efeito de uma legislação que ainda está em transição.</w:t>
      </w:r>
    </w:p>
    <w:p>
      <w:pPr>
        <w:spacing w:line="360" w:lineRule="auto" w:after="0"/>
        <w:ind w:firstLine="709"/>
        <w:jc w:val="both"/>
      </w:pPr>
      <w:r>
        <w:rPr>
          <w:rFonts w:ascii="Times New Roman" w:hAnsi="Times New Roman"/>
          <w:sz w:val="24"/>
        </w:rPr>
        <w:t>A decisão mais urgente, hoje, é sobre o Simples Nacional. A partir de 2027, quem está no regime precisa escolher entre manter o recolhimento de IBS e CBS dentro da guia única — o chamado regime único — ou apurar esses dois tributos separadamente, por fora do DAS, no que venho chamando de Simples híbrido. A escolha não é trivial: no regime único, o crédito que a empresa gera para quem compra dela se limita ao valor efetivamente recolhido na guia, que é reduzido — o que pode tornar o fornecedor do Simples, paradoxalmente, mais caro na cadeia B2B. No regime híbrido, a empresa gera mais crédito, aproximando-se da lógica dos demais regimes, mas abre mão de parte da simplicidade que tornava o Simples atrativo. A janela para essa escolha abre em setembro de 2026 e tem efeito a partir de janeiro de 2027 — e a maioria dos empresários que atendo ainda não fez essa conta.</w:t>
      </w:r>
    </w:p>
    <w:p>
      <w:pPr>
        <w:spacing w:line="360" w:lineRule="auto" w:after="0"/>
        <w:ind w:firstLine="709"/>
        <w:jc w:val="both"/>
      </w:pPr>
      <w:r>
        <w:rPr>
          <w:rFonts w:ascii="Times New Roman" w:hAnsi="Times New Roman"/>
          <w:sz w:val="24"/>
        </w:rPr>
        <w:t>Para tornar esse raciocínio mais concreto, vale um exercício comparativo — ilustrativo, não um cálculo tributário fechado, já que a alíquota final da reforma (a referência oficial estimada soma CBS e IBS em torno de 26,5%, ainda sujeita à fixação definitiva pelo Senado) segue em definição. Imagine uma empresa prestadora de serviços B2B, com faturamento anual de três milhões de reais, avaliando os quatro caminhos hoje disponíveis: Simples Nacional no regime único, Simples híbrido, Lucro Presumido e Lucro Real.</w:t>
      </w:r>
    </w:p>
    <w:p>
      <w:pPr>
        <w:spacing w:line="360" w:lineRule="auto" w:after="0"/>
        <w:ind w:firstLine="709"/>
        <w:jc w:val="both"/>
      </w:pPr>
      <w:r>
        <w:rPr>
          <w:rFonts w:ascii="Times New Roman" w:hAnsi="Times New Roman"/>
          <w:sz w:val="24"/>
        </w:rPr>
        <w:t>No Simples regime único, essa empresa mantém a simplicidade operacional que já conhece — uma guia, um cálculo, baixo custo de conformidade. Mas, se a maior parte de sua carteira for formada por outras empresas que precisam de crédito para reduzir sua própria carga tributária, ela corre o risco de perder competitividade: o crédito que consegue oferecer a esses clientes é limitado ao que foi efetivamente recolhido, normalmente inferior ao gerado pelos demais regimes.</w:t>
      </w:r>
    </w:p>
    <w:p>
      <w:pPr>
        <w:spacing w:line="360" w:lineRule="auto" w:after="0"/>
        <w:ind w:firstLine="709"/>
        <w:jc w:val="both"/>
      </w:pPr>
      <w:r>
        <w:rPr>
          <w:rFonts w:ascii="Times New Roman" w:hAnsi="Times New Roman"/>
          <w:sz w:val="24"/>
        </w:rPr>
        <w:t>No Simples híbrido, a mesma empresa preserva o enquadramento no Simples — com seus limites de faturamento e menor burocracia trabalhista e societária — mas passa a apurar IBS e CBS separadamente, gerando crédito mais próximo do praticado pelos regimes regulares. O ganho de competitividade em vendas B2B tem, como contrapartida, uma estrutura de apuração mais complexa do que a guia única a que o pequeno empresário está acostumado.</w:t>
      </w:r>
    </w:p>
    <w:p>
      <w:pPr>
        <w:spacing w:line="360" w:lineRule="auto" w:after="0"/>
        <w:ind w:firstLine="709"/>
        <w:jc w:val="both"/>
      </w:pPr>
      <w:r>
        <w:rPr>
          <w:rFonts w:ascii="Times New Roman" w:hAnsi="Times New Roman"/>
          <w:sz w:val="24"/>
        </w:rPr>
        <w:t>No Lucro Presumido, a tributação incide sobre uma margem de lucro presumida por atividade, independentemente do resultado real apurado no período — o que favorece empresas com margem efetiva acima da presunção, mas penaliza quem opera com margem apertada ou está em ano de baixa rentabilidade.</w:t>
      </w:r>
    </w:p>
    <w:p>
      <w:pPr>
        <w:spacing w:line="360" w:lineRule="auto" w:after="0"/>
        <w:ind w:firstLine="709"/>
        <w:jc w:val="both"/>
      </w:pPr>
      <w:r>
        <w:rPr>
          <w:rFonts w:ascii="Times New Roman" w:hAnsi="Times New Roman"/>
          <w:sz w:val="24"/>
        </w:rPr>
        <w:t>No Lucro Real, a tributação parte do lucro efetivamente apurado — vantajoso para operações com margem reduzida, prejuízo fiscal a compensar, ou volume relevante de crédito tributário a recuperar, mas com o custo de uma estrutura contábil e de controle bem mais robusta do que os demais regimes exigem.</w:t>
      </w:r>
    </w:p>
    <w:p>
      <w:pPr>
        <w:spacing w:line="360" w:lineRule="auto" w:after="0"/>
        <w:ind w:firstLine="709"/>
        <w:jc w:val="both"/>
      </w:pPr>
      <w:r>
        <w:rPr>
          <w:rFonts w:ascii="Times New Roman" w:hAnsi="Times New Roman"/>
          <w:sz w:val="24"/>
        </w:rPr>
        <w:t>Não existe, entre esses quatro caminhos, um vencedor universal. Existe o caminho certo para o momento e o perfil de cada empresa — e é exatamente essa conta, feita caso a caso, com dado real e não com regra geral, que separa o gestor técnico do gestor que apenas cumpre obrigação. Fazer essa análise antes da reforma se completar, e não depois, é a diferença entre atravessar a transição pagando o preço da antecipação ou pagando o preço do improviso.</w:t>
      </w:r>
    </w:p>
    <w:p>
      <w:pPr>
        <w:spacing w:before="360" w:after="160"/>
        <w:jc w:val="both"/>
      </w:pPr>
      <w:r>
        <w:rPr>
          <w:rFonts w:ascii="Times New Roman" w:hAnsi="Times New Roman"/>
          <w:b/>
          <w:sz w:val="24"/>
        </w:rPr>
        <w:t>3. Criação de valor: o dinheiro como professor, não como fim</w:t>
      </w:r>
    </w:p>
    <w:p>
      <w:pPr>
        <w:spacing w:line="360" w:lineRule="auto" w:after="0"/>
        <w:ind w:firstLine="709"/>
        <w:jc w:val="both"/>
      </w:pPr>
      <w:r>
        <w:rPr>
          <w:rFonts w:ascii="Times New Roman" w:hAnsi="Times New Roman"/>
          <w:sz w:val="24"/>
        </w:rPr>
        <w:t>Um dos enganos mais recorrentes da Nova Economia é tratar criação de valor como sinônimo de valuation, de captação, de múltiplo sobre receita. Esses números importam, mas são consequência — não são a origem do valor. A origem está em algo mais simples e mais difícil: saber, de fato, para onde vai o dinheiro de um negócio, e o que fazer com essa informação.</w:t>
      </w:r>
    </w:p>
    <w:p>
      <w:pPr>
        <w:spacing w:line="360" w:lineRule="auto" w:after="0"/>
        <w:ind w:firstLine="709"/>
        <w:jc w:val="both"/>
      </w:pPr>
      <w:r>
        <w:rPr>
          <w:rFonts w:ascii="Times New Roman" w:hAnsi="Times New Roman"/>
          <w:sz w:val="24"/>
        </w:rPr>
        <w:t>Escrevi, no meu livro, que o dinheiro nunca foi para mim apenas uma ferramenta, mas um professor. Ele me ensinou disciplina quando precisei economizar, inovação quando precisei investir sem certeza, e humildade quando enfrentei desafios financeiros — e posso falar disso com propriedade, porque ao longo da minha trajetória enfrentei a falência não uma, mas sete vezes. Cada uma delas foi uma lição dura, mas também uma oportunidade de aprendizado. Não escondo essas quedas porque elas são, precisamente, a fonte da minha autoridade para falar sobre criação de valor: quem nunca perdeu dinheiro dificilmente entende, na prática, o que significa protegê-lo.</w:t>
      </w:r>
    </w:p>
    <w:p>
      <w:pPr>
        <w:spacing w:line="360" w:lineRule="auto" w:after="0"/>
        <w:ind w:firstLine="709"/>
        <w:jc w:val="both"/>
      </w:pPr>
      <w:r>
        <w:rPr>
          <w:rFonts w:ascii="Times New Roman" w:hAnsi="Times New Roman"/>
          <w:sz w:val="24"/>
        </w:rPr>
        <w:t>Na estrutura que desenvolvi para a Gestão Financeira, organizo o tema em formato de pirâmide: Governança Financeira na base, seguida por Gestão Orçamentária, Gestão de Fluxo de Caixa, Gestão de Investimentos e, no topo, Gestão de Endividamento. A ordem não é arbitrária. A maioria dos empresários que atendo quer pular direto para investimento sem ter governança na base — é como construir cobertura sem fundação. Valor real não se cria pulando etapas; cria-se subindo a pirâmide na ordem certa.</w:t>
      </w:r>
    </w:p>
    <w:p>
      <w:pPr>
        <w:spacing w:line="360" w:lineRule="auto" w:after="0"/>
        <w:ind w:firstLine="709"/>
        <w:jc w:val="both"/>
      </w:pPr>
      <w:r>
        <w:rPr>
          <w:rFonts w:ascii="Times New Roman" w:hAnsi="Times New Roman"/>
          <w:sz w:val="24"/>
        </w:rPr>
        <w:t>No topo dessa pirâmide está a Gestão de Endividamento — a camada que mais aprendi, e da forma mais dura, ao longo das sete falências que atravessei. Dívida, por si só, não é o problema; é ferramenta legítima de crescimento quando financia ativo produtivo, não quando cobre rombo operacional recorrente. O erro que mais vejo, e que mais cometi, é confundir as duas coisas: usar crédito de curto prazo para tapar buraco estrutural, adiando o problema real em vez de resolvê-lo. Cada uma das minhas sete quedas teve, na origem, essa mesma confusão — e é justamente por reconhecer esse padrão, hoje, de fora, que consigo ajudar outros empresários a interromper o ciclo antes que ele se repita neles.</w:t>
      </w:r>
    </w:p>
    <w:p>
      <w:pPr>
        <w:spacing w:line="360" w:lineRule="auto" w:after="0"/>
        <w:ind w:firstLine="709"/>
        <w:jc w:val="both"/>
      </w:pPr>
      <w:r>
        <w:rPr>
          <w:rFonts w:ascii="Times New Roman" w:hAnsi="Times New Roman"/>
          <w:sz w:val="24"/>
        </w:rPr>
        <w:t>No capítulo de Gestão Financeira do meu livro, transformo essa pirâmide em algo mais concreto: doze ações práticas que testei e retesei ao longo de mais de uma década à frente do Grupo Sena. Convido o leitor a interromper a leitura por um instante e responder, com honestidade, quantas dessas doze práticas já fazem parte da rotina do seu negócio: ter orçamento formal; definir prioridades de gasto; controlar despesas mês a mês; quitar dívidas antigas antes de assumir novas; criar o hábito de poupar, mesmo que pouco; montar uma reserva de emergência equivalente a três ou seis meses de custo fixo; evitar dívida desnecessária; pesquisar preço antes de qualquer compra relevante; buscar educação financeira de forma contínua; desenvolver uma fonte de renda extra; planejar toda compra grande com antecedência; e manter um planejamento financeiro de longo prazo, não apenas mensal.</w:t>
      </w:r>
    </w:p>
    <w:p>
      <w:pPr>
        <w:spacing w:line="360" w:lineRule="auto" w:after="0"/>
        <w:ind w:firstLine="709"/>
        <w:jc w:val="both"/>
      </w:pPr>
      <w:r>
        <w:rPr>
          <w:rFonts w:ascii="Times New Roman" w:hAnsi="Times New Roman"/>
          <w:sz w:val="24"/>
        </w:rPr>
        <w:t>Não é exercício retórico. Na minha experiência prática, empresários que respondem sim a pelo menos oito dessas doze perguntas raramente são surpreendidos por uma crise de caixa que não conseguem atravessar. Os que respondem sim a menos de cinco, quase sempre, já vivem — ou viveram recentemente — algum grau de sufoco financeiro sem conseguir nomear a causa exata. A diferença entre os dois grupos não é o tamanho do negócio, nem o setor em que atuam. É a disciplina de tratar essas doze ações como rotina, não como recurso de emergência.</w:t>
      </w:r>
    </w:p>
    <w:p>
      <w:pPr>
        <w:spacing w:line="360" w:lineRule="auto" w:after="0"/>
        <w:ind w:firstLine="709"/>
        <w:jc w:val="both"/>
      </w:pPr>
      <w:r>
        <w:rPr>
          <w:rFonts w:ascii="Times New Roman" w:hAnsi="Times New Roman"/>
          <w:sz w:val="24"/>
        </w:rPr>
        <w:t>Essa é, para mim, a dinâmica mais simples e mais subestimada da Nova Economia: enquanto o mercado celebra modelos de negócio cada vez mais sofisticados, a maioria das empresas que quebram no Brasil não quebra por falta de inovação — quebra por falta dessas doze disciplinas elementares. Antes de perguntar como escalar, o gestor sério deveria perguntar quantas dessas doze caixas ele já consegue marcar.</w:t>
      </w:r>
    </w:p>
    <w:p>
      <w:pPr>
        <w:spacing w:line="360" w:lineRule="auto" w:after="0"/>
        <w:ind w:firstLine="709"/>
        <w:jc w:val="both"/>
      </w:pPr>
      <w:r>
        <w:rPr>
          <w:rFonts w:ascii="Times New Roman" w:hAnsi="Times New Roman"/>
          <w:sz w:val="24"/>
        </w:rPr>
        <w:t>É por essa razão que considero a gestão tributária eficiente uma das formas mais subestimadas de criação de valor na economia brasileira. Cada real de imposto pago corretamente, sem desperdício por desconhecimento, sem multa por atraso, sem enquadramento tributário inadequado, é um real que permanece disponível para reinvestimento, contratação, inovação. Ao longo de mais de uma década à frente do Grupo Sena, ajudamos empresas de diferentes portes a recuperar e a preservar milhões de reais que, de outra forma, teriam se perdido em ineficiência tributária — não por sonegação, mas por planejamento. Essa é uma forma de criação de valor que não aparece em pitch deck, mas que decide se uma empresa sobrevive ao próximo ciclo econômico.</w:t>
      </w:r>
    </w:p>
    <w:p>
      <w:pPr>
        <w:spacing w:before="360" w:after="160"/>
        <w:jc w:val="both"/>
      </w:pPr>
      <w:r>
        <w:rPr>
          <w:rFonts w:ascii="Times New Roman" w:hAnsi="Times New Roman"/>
          <w:b/>
          <w:sz w:val="24"/>
        </w:rPr>
        <w:t>4. Escalabilidade: sistemas que não dependem do fundador</w:t>
      </w:r>
    </w:p>
    <w:p>
      <w:pPr>
        <w:spacing w:line="360" w:lineRule="auto" w:after="0"/>
        <w:ind w:firstLine="709"/>
        <w:jc w:val="both"/>
      </w:pPr>
      <w:r>
        <w:rPr>
          <w:rFonts w:ascii="Times New Roman" w:hAnsi="Times New Roman"/>
          <w:sz w:val="24"/>
        </w:rPr>
        <w:t>Todo empreendedor, em algum momento, confunde crescimento com escala. Eu mesmo cometi esse erro. Crescer é vender mais. Escalar é vender mais sem que a estrutura da empresa cresça na mesma proporção — o que só é possível quando existem sistemas, e não apenas pessoas talentosas, segurando o negócio de pé.</w:t>
      </w:r>
    </w:p>
    <w:p>
      <w:pPr>
        <w:spacing w:line="360" w:lineRule="auto" w:after="0"/>
        <w:ind w:firstLine="709"/>
        <w:jc w:val="both"/>
      </w:pPr>
      <w:r>
        <w:rPr>
          <w:rFonts w:ascii="Times New Roman" w:hAnsi="Times New Roman"/>
          <w:sz w:val="24"/>
        </w:rPr>
        <w:t>Um dos textos mais provocadores que escrevi no meu livro pergunta ao leitor: se eu te perguntasse qual é o propósito da sua empresa, o que você diria? A resposta que mais ouço é: crescer. E, se essa também for a resposta do leitor, eu tenho uma notícia difícil: sua empresa não é diferente de um tumor. Crescimento sem propósito é crescimento descontrolado. Crescimento não é propósito — é consequência do propósito, e escala não é sinônimo de tamanho — é sinônimo de sistema.</w:t>
      </w:r>
    </w:p>
    <w:p>
      <w:pPr>
        <w:spacing w:line="360" w:lineRule="auto" w:after="0"/>
        <w:ind w:firstLine="709"/>
        <w:jc w:val="both"/>
      </w:pPr>
      <w:r>
        <w:rPr>
          <w:rFonts w:ascii="Times New Roman" w:hAnsi="Times New Roman"/>
          <w:sz w:val="24"/>
        </w:rPr>
        <w:t>A escalabilidade, na minha experiência prática, se constrói em três camadas. A primeira é a matriz de responsabilidades: garantir que nenhuma tarefa crítica da empresa dependa de uma única pessoa, incluindo o próprio fundador. A segunda é a instrução de trabalho: transformar o conhecimento tácito de quem "sabe fazer" em processo documentado que qualquer pessoa treinada consegue executar com o mesmo padrão. A terceira, a mais difícil emocionalmente, é a delegação deliberada: separar, todos os dias, o que é tarefa operacional do que é decisão estratégica, e devolver ao gestor apenas a segunda.</w:t>
      </w:r>
    </w:p>
    <w:p>
      <w:pPr>
        <w:spacing w:line="360" w:lineRule="auto" w:after="0"/>
        <w:ind w:firstLine="709"/>
        <w:jc w:val="both"/>
      </w:pPr>
      <w:r>
        <w:rPr>
          <w:rFonts w:ascii="Times New Roman" w:hAnsi="Times New Roman"/>
          <w:sz w:val="24"/>
        </w:rPr>
        <w:t>O próprio Grupo Sena é prova viva dessa lógica. Comecei sozinho, em 2010, saindo de uma operadora de telefonia onde já resolvia problemas de empresas grandes como funcionário — decidi que resolveria os mesmos problemas através do meu próprio negócio. Hoje, mais de uma década depois, o grupo opera com estrutura em seis estados brasileiros, sem que cada decisão precise passar pela minha mesa. Isso não aconteceu por sorte. Aconteceu porque apliquei, na minha própria empresa, o mesmo método que hoje ensino: o Geo Ciclo, minha metodologia própria para estruturar e reestruturar negócios, nasceu exatamente da necessidade de sistematizar o que antes vivia só na minha cabeça.</w:t>
      </w:r>
    </w:p>
    <w:p>
      <w:pPr>
        <w:spacing w:line="360" w:lineRule="auto" w:after="0"/>
        <w:ind w:firstLine="709"/>
        <w:jc w:val="both"/>
      </w:pPr>
      <w:r>
        <w:rPr>
          <w:rFonts w:ascii="Times New Roman" w:hAnsi="Times New Roman"/>
          <w:sz w:val="24"/>
        </w:rPr>
        <w:t>Na Nova Economia, onde modelos de negócio digitais prometem escala instantânea, vale lembrar que toda escala sustentável — digital ou não — depende de uma retaguarda financeira, tributária e de gestão de pessoas que suporte o volume sem quebrar. Já vi negócios crescerem rápido demais e afundarem justamente por não terem essa retaguarda. Escala sem gestão não é crescimento — é contagem regressiva.</w:t>
      </w:r>
    </w:p>
    <w:p>
      <w:pPr>
        <w:spacing w:before="360" w:after="160"/>
        <w:jc w:val="both"/>
      </w:pPr>
      <w:r>
        <w:rPr>
          <w:rFonts w:ascii="Times New Roman" w:hAnsi="Times New Roman"/>
          <w:b/>
          <w:sz w:val="24"/>
        </w:rPr>
        <w:t>5. Impacto: transformar dor vivida em legado</w:t>
      </w:r>
    </w:p>
    <w:p>
      <w:pPr>
        <w:spacing w:line="360" w:lineRule="auto" w:after="0"/>
        <w:ind w:firstLine="709"/>
        <w:jc w:val="both"/>
      </w:pPr>
      <w:r>
        <w:rPr>
          <w:rFonts w:ascii="Times New Roman" w:hAnsi="Times New Roman"/>
          <w:sz w:val="24"/>
        </w:rPr>
        <w:t>Se influência, inovação, criação de valor e escalabilidade são os meios, impacto é o motivo que sustenta o esforço no longo prazo. E aqui volto, deliberadamente, à moto onde comecei este texto.</w:t>
      </w:r>
    </w:p>
    <w:p>
      <w:pPr>
        <w:spacing w:line="360" w:lineRule="auto" w:after="0"/>
        <w:ind w:firstLine="709"/>
        <w:jc w:val="both"/>
      </w:pPr>
      <w:r>
        <w:rPr>
          <w:rFonts w:ascii="Times New Roman" w:hAnsi="Times New Roman"/>
          <w:sz w:val="24"/>
        </w:rPr>
        <w:t>Fui forjado pelos momentos que passei. Fui servente de pedreiro, fui camelô, tive carrinho de cachorro-quente, fui motoboy — e cada uma dessas experiências construiu a base de negócio e de rede de relações que sustenta o que faço hoje. Não conto essa história para inspirar por inspirar. Conto porque ela define o tipo de impacto que persigo: eu me orgulho de saber que existem muitos "Gilbertos" espalhados por aí, gente que só precisa de conhecimento e apoio para crescer.</w:t>
      </w:r>
    </w:p>
    <w:p>
      <w:pPr>
        <w:spacing w:line="360" w:lineRule="auto" w:after="0"/>
        <w:ind w:firstLine="709"/>
        <w:jc w:val="both"/>
      </w:pPr>
      <w:r>
        <w:rPr>
          <w:rFonts w:ascii="Times New Roman" w:hAnsi="Times New Roman"/>
          <w:sz w:val="24"/>
        </w:rPr>
        <w:t>Impacto, na Nova Economia, é frequentemente medido por métricas de alcance — visualizações, seguidores, engajamento. São métricas válidas, mas superficiais quando isoladas. O impacto que realmente me interessa é outro: quantas empresas continuam de pé porque entenderam a tempo uma mudança tributária; quantos empregos foram preservados porque um empresário aceitou fazer a gestão financeira antes de ser tarde demais; quantas famílias mantiveram sua estabilidade porque alguém, em algum momento, transformou um problema técnico complexo em uma decisão simples e a tempo.</w:t>
      </w:r>
    </w:p>
    <w:p>
      <w:pPr>
        <w:spacing w:line="360" w:lineRule="auto" w:after="0"/>
        <w:ind w:firstLine="709"/>
        <w:jc w:val="both"/>
      </w:pPr>
      <w:r>
        <w:rPr>
          <w:rFonts w:ascii="Times New Roman" w:hAnsi="Times New Roman"/>
          <w:sz w:val="24"/>
        </w:rPr>
        <w:t>A missão que orienta o Grupo Sena, e que assino com a mesma convicção de quando a escrevemos pela primeira vez, resume esse compromisso: atuar no mercado corporativo de assessoria e consultoria contábil, tributária, jurídica e de gestão financeira com o principal objetivo de garantir a tranquilidade de nossos clientes, de forma ética, segura e confiável. Não é uma missão feita para caber em um slide de apresentação. É uma missão feita para orientar decisões nos dias em que ninguém está olhando.</w:t>
      </w:r>
    </w:p>
    <w:p>
      <w:pPr>
        <w:spacing w:line="360" w:lineRule="auto" w:after="0"/>
        <w:ind w:firstLine="709"/>
        <w:jc w:val="both"/>
      </w:pPr>
      <w:r>
        <w:rPr>
          <w:rFonts w:ascii="Times New Roman" w:hAnsi="Times New Roman"/>
          <w:sz w:val="24"/>
        </w:rPr>
        <w:t>Quando eu vendia cachorro-quente, quando eu era motoboy, eu não tinha ideia de onde a vida me levaria — mas tinha o coração cheio de sonhos e a determinação de transformar a minha realidade. Se este capítulo tiver algum valor para o leitor que atua em qualquer área da Nova Economia, que seja este: acredite em si mesmo quando as adversidades tentarem te derrubar. Eu acreditei, mesmo quando fui questionado e testado pelas sete quedas que enfrentei. O mundo dos negócios aguarda as conquistas de quem lê este capítulo. Que transformemos, juntos, sonhos em realidades tangíveis, e deixemos um legado que transcenda gerações.</w:t>
      </w:r>
    </w:p>
    <w:p>
      <w:pPr>
        <w:spacing w:before="360" w:after="160"/>
        <w:jc w:val="both"/>
      </w:pPr>
      <w:r>
        <w:rPr>
          <w:rFonts w:ascii="Times New Roman" w:hAnsi="Times New Roman"/>
          <w:b/>
          <w:sz w:val="24"/>
        </w:rPr>
        <w:t>Considerações finais</w:t>
      </w:r>
    </w:p>
    <w:p>
      <w:pPr>
        <w:spacing w:line="360" w:lineRule="auto" w:after="0"/>
        <w:ind w:firstLine="709"/>
        <w:jc w:val="both"/>
      </w:pPr>
      <w:r>
        <w:rPr>
          <w:rFonts w:ascii="Times New Roman" w:hAnsi="Times New Roman"/>
          <w:sz w:val="24"/>
        </w:rPr>
        <w:t>A Nova Economia costuma ser narrada pela lente de quem cria produtos visíveis: aplicativos, plataformas, marcas pessoais, conteúdo. Este capítulo defendeu uma tese diferente, construída a partir da minha própria trajetória e do método que sistematizei ao longo de mais de uma década à frente do Grupo Sena: por trás de todo negócio influente, inovador, gerador de valor, escalável e impactante, existe uma estrutura de gestão — financeira, tributária, de pessoas — que raramente aparece nos holofotes, mas sem a qual nenhum dos cinco pilares se sustenta.</w:t>
      </w:r>
    </w:p>
    <w:p>
      <w:pPr>
        <w:spacing w:line="360" w:lineRule="auto" w:after="0"/>
        <w:ind w:firstLine="709"/>
        <w:jc w:val="both"/>
      </w:pPr>
      <w:r>
        <w:rPr>
          <w:rFonts w:ascii="Times New Roman" w:hAnsi="Times New Roman"/>
          <w:sz w:val="24"/>
        </w:rPr>
        <w:t>Reinterpretar a própria profissão dentro da Nova Economia não significa abandonar sua essência técnica. Significa compreender que técnica sem tradução não influencia, técnica sem método não inova, técnica sem aplicação não cria valor, técnica sem sistema não escala, e técnica sem propósito não gera impacto algum. Foi essa a jornada que tentei documentar aqui: da moto até a mesa onde hoje ajudo empresários a tomar as decisões mais importantes dos seus negócios. Que este capítulo sirva de convite a outros profissionais de formação dita conservadora para que também reconheçam, na própria prática cotidiana, os cinco pilares da economia que estamos, juntos, construindo.</w:t>
      </w:r>
    </w:p>
    <w:p>
      <w:pPr>
        <w:spacing w:before="360" w:after="160"/>
        <w:jc w:val="both"/>
      </w:pPr>
      <w:r>
        <w:rPr>
          <w:rFonts w:ascii="Times New Roman" w:hAnsi="Times New Roman"/>
          <w:b/>
          <w:sz w:val="24"/>
        </w:rPr>
        <w:t>Sobre o autor</w:t>
      </w:r>
    </w:p>
    <w:p>
      <w:pPr>
        <w:spacing w:line="360" w:lineRule="auto" w:after="0"/>
        <w:jc w:val="both"/>
      </w:pPr>
      <w:r>
        <w:rPr>
          <w:rFonts w:ascii="Times New Roman" w:hAnsi="Times New Roman"/>
          <w:sz w:val="24"/>
        </w:rPr>
        <w:t>Gilberto Luís de Sena é fundador e CEO do Grupo Sena Soluções Empresariais, estruturação de negócios com contabilidade, auditoria fiscal e tributária, assessoria jurídica e gestão financeira, com sede principal em Belo Horizonte e atuação em Goiânia, São Paulo, Brasília e Rio de Janeiro. É Bacharel em Teologia pelo Seminário de Educação Teológica Kerigma Didache (SETEAD), pós-graduado em Direito Tributário (720 horas) pela FAVENI/Instituto de Educação Século XXI, e Agente Autônomo de Investimento (AAI) habilitado pela ANCORD. É autor do livro Os 5 G's da Gestão Empreendedora, criador da Reengenharia Empresarial e Negócio Exponencial, metodologia própria para reestruturação de negócios, além de desenvolvedor do Summit do Gestor, evento anual para transformar gestores em verdadeiros CEOs.</w:t>
      </w:r>
    </w:p>
    <w:sectPr w:rsidR="00FC693F" w:rsidRPr="0006063C" w:rsidSect="00034616">
      <w:head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