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6412B"/>
          <w:spacing w:val="26"/>
          <w:sz w:val="13"/>
          <w:szCs w:val="13"/>
        </w:rPr>
        <w:t xml:space="preserve">VERSÃO DE TRABALHO · POSTERIOR À ASSINATURA DE 28/09/2026</w:t>
      </w:r>
    </w:p>
    <w:p>
      <w:pPr>
        <w:spacing w:after="50"/>
      </w:pPr>
      <w:r>
        <w:rPr>
          <w:b/>
          <w:bCs/>
          <w:color w:val="16161A"/>
          <w:sz w:val="32"/>
          <w:szCs w:val="32"/>
        </w:rPr>
        <w:t xml:space="preserve">Centro de Eventos "Kairós"</w:t>
      </w:r>
    </w:p>
    <w:p>
      <w:pPr>
        <w:pBdr>
          <w:bottom w:val="single" w:color="16161A" w:sz="12" w:space="4"/>
        </w:pBdr>
        <w:spacing w:after="40"/>
      </w:pPr>
      <w:r>
        <w:rPr>
          <w:b/>
          <w:bCs/>
          <w:color w:val="16161A"/>
          <w:sz w:val="15"/>
          <w:szCs w:val="15"/>
        </w:rPr>
        <w:t xml:space="preserve">Atenção: este não é o documento assinado em 28/09/2026. </w:t>
      </w:r>
      <w:r>
        <w:rPr>
          <w:color w:val="6E6A63"/>
          <w:sz w:val="14"/>
          <w:szCs w:val="14"/>
        </w:rPr>
        <w:t xml:space="preserve">Aquele está guardado à parte e não deve ser alterado. Este acompanha o contrato definitivo, que é o documento que vale. Inventário dos equipamentos em anexo separado.</w:t>
      </w:r>
    </w:p>
    <w:p>
      <w:pPr>
        <w:pBdr>
          <w:bottom w:val="single" w:color="16161A" w:sz="6" w:space="1"/>
        </w:pBdr>
        <w:spacing w:after="50" w:before="130"/>
      </w:pPr>
      <w:r>
        <w:rPr>
          <w:b/>
          <w:bCs/>
          <w:color w:val="16161A"/>
          <w:spacing w:val="30"/>
          <w:sz w:val="13"/>
          <w:szCs w:val="13"/>
        </w:rPr>
        <w:t xml:space="preserve">AS PARTES</w:t>
      </w:r>
    </w:p>
    <w:tbl>
      <w:tblPr>
        <w:tblW w:type="dxa" w:w="1054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2"/>
        <w:gridCol w:w="5232"/>
      </w:tblGrid>
      <w:tr>
        <w:tc>
          <w:tcPr>
            <w:tcW w:type="dxa" w:w="52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D6412B"/>
                <w:spacing w:val="24"/>
                <w:sz w:val="13"/>
                <w:szCs w:val="13"/>
              </w:rPr>
              <w:t xml:space="preserve">MOTOR EM AÇÃO APORTA</w:t>
            </w:r>
          </w:p>
          <w:p>
            <w:pPr>
              <w:spacing w:after="60"/>
            </w:pPr>
            <w:r>
              <w:rPr>
                <w:b/>
                <w:bCs/>
                <w:color w:val="16161A"/>
                <w:sz w:val="20"/>
                <w:szCs w:val="20"/>
              </w:rPr>
              <w:t xml:space="preserve">O espaço físico</w:t>
            </w:r>
          </w:p>
          <w:p>
            <w:pPr>
              <w:spacing w:after="20" w:before="0" w:line="200"/>
            </w:pPr>
            <w:r>
              <w:rPr>
                <w:color w:val="D6412B"/>
                <w:sz w:val="13"/>
                <w:szCs w:val="13"/>
              </w:rPr>
              <w:t xml:space="preserve">◆  </w:t>
            </w:r>
            <w:r>
              <w:rPr>
                <w:color w:val="16161A"/>
                <w:sz w:val="16"/>
                <w:szCs w:val="16"/>
              </w:rPr>
              <w:t xml:space="preserve">Imóvel com auditório e dependências, pronto para uso</w:t>
            </w:r>
          </w:p>
          <w:p>
            <w:pPr>
              <w:spacing w:after="20" w:before="0" w:line="200"/>
            </w:pPr>
            <w:r>
              <w:rPr>
                <w:color w:val="D6412B"/>
                <w:sz w:val="13"/>
                <w:szCs w:val="13"/>
              </w:rPr>
              <w:t xml:space="preserve">◆  </w:t>
            </w:r>
            <w:r>
              <w:rPr>
                <w:color w:val="16161A"/>
                <w:sz w:val="16"/>
                <w:szCs w:val="16"/>
              </w:rPr>
              <w:t xml:space="preserve">Instalações prediais, energia, climatização e acessos</w:t>
            </w:r>
          </w:p>
          <w:p>
            <w:pPr>
              <w:spacing w:after="20" w:before="0" w:line="200"/>
            </w:pPr>
            <w:r>
              <w:rPr>
                <w:color w:val="D6412B"/>
                <w:sz w:val="13"/>
                <w:szCs w:val="13"/>
              </w:rPr>
              <w:t xml:space="preserve">◆  </w:t>
            </w:r>
            <w:r>
              <w:rPr>
                <w:color w:val="16161A"/>
                <w:sz w:val="16"/>
                <w:szCs w:val="16"/>
              </w:rPr>
              <w:t xml:space="preserve">Disponibilidade garantida durante toda a parceria</w:t>
            </w:r>
          </w:p>
          <w:p>
            <w:pPr>
              <w:pBdr>
                <w:top w:val="single" w:color="C9C5BC" w:sz="2" w:space="3"/>
              </w:pBdr>
              <w:spacing w:before="60"/>
            </w:pPr>
            <w:r>
              <w:rPr>
                <w:color w:val="6E6A63"/>
                <w:sz w:val="14"/>
                <w:szCs w:val="14"/>
              </w:rPr>
              <w:t xml:space="preserve">Continua pagando por fora: IPTU, aluguel, obras, manutenção predial, manutenção dos equipamentos, energia, água, internet, portaria, ECAD, alvará, AVCB e o seguro de responsabilidade civil. Davi Leonardo de Paula Arraz assina pela empresa; Luciano Duarte Peres (advogado, OAB/SC 2010) é o interlocutor e o devedor solidário.</w:t>
            </w:r>
          </w:p>
        </w:tc>
        <w:tc>
          <w:tcPr>
            <w:tcW w:type="dxa" w:w="52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D6412B"/>
                <w:spacing w:val="24"/>
                <w:sz w:val="13"/>
                <w:szCs w:val="13"/>
              </w:rPr>
              <w:t xml:space="preserve">ESPAÇO KAIRÓS APORTA</w:t>
            </w:r>
          </w:p>
          <w:p>
            <w:pPr>
              <w:spacing w:after="60"/>
            </w:pPr>
            <w:r>
              <w:rPr>
                <w:b/>
                <w:bCs/>
                <w:color w:val="16161A"/>
                <w:sz w:val="20"/>
                <w:szCs w:val="20"/>
              </w:rPr>
              <w:t xml:space="preserve">A estrutura e a operação</w:t>
            </w:r>
          </w:p>
          <w:p>
            <w:pPr>
              <w:spacing w:after="20" w:before="0" w:line="200"/>
            </w:pPr>
            <w:r>
              <w:rPr>
                <w:color w:val="D6412B"/>
                <w:sz w:val="13"/>
                <w:szCs w:val="13"/>
              </w:rPr>
              <w:t xml:space="preserve">◆  </w:t>
            </w:r>
            <w:r>
              <w:rPr>
                <w:color w:val="16161A"/>
                <w:sz w:val="16"/>
                <w:szCs w:val="16"/>
              </w:rPr>
              <w:t xml:space="preserve">Equipamentos e mobiliário: 57 itens, 325 peças (Anexo I)</w:t>
            </w:r>
          </w:p>
          <w:p>
            <w:pPr>
              <w:spacing w:after="20" w:before="0" w:line="200"/>
            </w:pPr>
            <w:r>
              <w:rPr>
                <w:color w:val="D6412B"/>
                <w:sz w:val="13"/>
                <w:szCs w:val="13"/>
              </w:rPr>
              <w:t xml:space="preserve">◆  </w:t>
            </w:r>
            <w:r>
              <w:rPr>
                <w:color w:val="16161A"/>
                <w:sz w:val="16"/>
                <w:szCs w:val="16"/>
              </w:rPr>
              <w:t xml:space="preserve">Marca e nome "Centro de Eventos Kairós"</w:t>
            </w:r>
          </w:p>
          <w:p>
            <w:pPr>
              <w:spacing w:after="20" w:before="0" w:line="200"/>
            </w:pPr>
            <w:r>
              <w:rPr>
                <w:color w:val="D6412B"/>
                <w:sz w:val="13"/>
                <w:szCs w:val="13"/>
              </w:rPr>
              <w:t xml:space="preserve">◆  </w:t>
            </w:r>
            <w:r>
              <w:rPr>
                <w:color w:val="16161A"/>
                <w:sz w:val="16"/>
                <w:szCs w:val="16"/>
              </w:rPr>
              <w:t xml:space="preserve">CNPJ já ativo e perfis em redes sociais</w:t>
            </w:r>
          </w:p>
          <w:p>
            <w:pPr>
              <w:spacing w:after="20" w:before="0" w:line="200"/>
            </w:pPr>
            <w:r>
              <w:rPr>
                <w:color w:val="D6412B"/>
                <w:sz w:val="13"/>
                <w:szCs w:val="13"/>
              </w:rPr>
              <w:t xml:space="preserve">◆  </w:t>
            </w:r>
            <w:r>
              <w:rPr>
                <w:color w:val="16161A"/>
                <w:sz w:val="16"/>
                <w:szCs w:val="16"/>
              </w:rPr>
              <w:t xml:space="preserve">Carteira de clientes e reputação de mercado</w:t>
            </w:r>
          </w:p>
          <w:p>
            <w:pPr>
              <w:pBdr>
                <w:top w:val="single" w:color="C9C5BC" w:sz="2" w:space="3"/>
              </w:pBdr>
              <w:spacing w:before="60"/>
            </w:pPr>
            <w:r>
              <w:rPr>
                <w:color w:val="6E6A63"/>
                <w:sz w:val="14"/>
                <w:szCs w:val="14"/>
              </w:rPr>
              <w:t xml:space="preserve">Continua pagando por fora: reposição de equipamento por desgaste, seguro dos equipamentos e o imposto sobre a receita.</w:t>
            </w:r>
          </w:p>
        </w:tc>
      </w:tr>
    </w:tbl>
    <w:tbl>
      <w:tblPr>
        <w:tblW w:type="dxa" w:w="1054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2"/>
        <w:gridCol w:w="5232"/>
      </w:tblGrid>
      <w:tr>
        <w:tc>
          <w:tcPr>
            <w:tcW w:type="dxa" w:w="52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Bdr>
                <w:bottom w:val="single" w:color="16161A" w:sz="6" w:space="1"/>
              </w:pBdr>
              <w:spacing w:after="50" w:before="130"/>
            </w:pPr>
            <w:r>
              <w:rPr>
                <w:b/>
                <w:bCs/>
                <w:color w:val="16161A"/>
                <w:spacing w:val="30"/>
                <w:sz w:val="13"/>
                <w:szCs w:val="13"/>
              </w:rPr>
              <w:t xml:space="preserve">COMO O DINHEIRO É DIVIDIDO</w:t>
            </w:r>
          </w:p>
          <w:tbl>
            <w:tblPr>
              <w:tblW w:type="dxa" w:w="503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450"/>
              <w:gridCol w:w="3582"/>
            </w:tblGrid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20" w:before="0" w:line="20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D6412B"/>
                      <w:sz w:val="28"/>
                      <w:szCs w:val="28"/>
                    </w:rPr>
                    <w:t xml:space="preserve">50/50</w:t>
                  </w:r>
                </w:p>
              </w:tc>
              <w:tc>
                <w:tcPr>
                  <w:tcW w:type="dxa" w:w="358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20" w:before="0" w:line="200"/>
                  </w:pPr>
                  <w:r>
                    <w:rPr>
                      <w:color w:val="16161A"/>
                      <w:sz w:val="16"/>
                      <w:szCs w:val="16"/>
                    </w:rPr>
                    <w:t xml:space="preserve">Nas </w:t>
                  </w:r>
                  <w:r>
                    <w:rPr>
                      <w:b/>
                      <w:bCs/>
                      <w:color w:val="16161A"/>
                      <w:sz w:val="16"/>
                      <w:szCs w:val="16"/>
                    </w:rPr>
                    <w:t xml:space="preserve">datas comercializadas</w:t>
                  </w:r>
                  <w:r>
                    <w:rPr>
                      <w:color w:val="16161A"/>
                      <w:sz w:val="16"/>
                      <w:szCs w:val="16"/>
                    </w:rPr>
                    <w:t xml:space="preserve">, tudo que o espaço arrecada entra numa conta própria da parceria. Dela saem </w:t>
                  </w:r>
                  <w:r>
                    <w:rPr>
                      <w:b/>
                      <w:bCs/>
                      <w:color w:val="16161A"/>
                      <w:sz w:val="16"/>
                      <w:szCs w:val="16"/>
                    </w:rPr>
                    <w:t xml:space="preserve">somente os custos da operação</w:t>
                  </w:r>
                  <w:r>
                    <w:rPr>
                      <w:color w:val="16161A"/>
                      <w:sz w:val="16"/>
                      <w:szCs w:val="16"/>
                    </w:rPr>
                    <w:t xml:space="preserve"> — a lista é fechada — e </w:t>
                  </w:r>
                  <w:r>
                    <w:rPr>
                      <w:b/>
                      <w:bCs/>
                      <w:color w:val="16161A"/>
                      <w:sz w:val="16"/>
                      <w:szCs w:val="16"/>
                    </w:rPr>
                    <w:t xml:space="preserve">o que sobra é dividido em duas partes iguais</w:t>
                  </w:r>
                  <w:r>
                    <w:rPr>
                      <w:color w:val="16161A"/>
                      <w:sz w:val="16"/>
                      <w:szCs w:val="16"/>
                    </w:rPr>
                    <w:t xml:space="preserve">. Prejuízo no mês, os dois cobrem meio a meio. Ninguém tem pró-labore.</w:t>
                  </w:r>
                </w:p>
              </w:tc>
            </w:tr>
          </w:tbl>
          <w:p/>
        </w:tc>
        <w:tc>
          <w:tcPr>
            <w:tcW w:type="dxa" w:w="52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Bdr>
                <w:bottom w:val="single" w:color="16161A" w:sz="6" w:space="1"/>
              </w:pBdr>
              <w:spacing w:after="50" w:before="130"/>
            </w:pPr>
            <w:r>
              <w:rPr>
                <w:b/>
                <w:bCs/>
                <w:color w:val="16161A"/>
                <w:spacing w:val="30"/>
                <w:sz w:val="13"/>
                <w:szCs w:val="13"/>
              </w:rPr>
              <w:t xml:space="preserve">AS DUAS DATAS MENSAIS DE GILBERTO</w:t>
            </w:r>
          </w:p>
          <w:tbl>
            <w:tblPr>
              <w:tblW w:type="dxa" w:w="503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450"/>
              <w:gridCol w:w="3582"/>
            </w:tblGrid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20" w:before="0" w:line="20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D6412B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358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20" w:before="0" w:line="200"/>
                  </w:pPr>
                  <w:r>
                    <w:rPr>
                      <w:color w:val="16161A"/>
                      <w:sz w:val="16"/>
                      <w:szCs w:val="16"/>
                    </w:rPr>
                    <w:t xml:space="preserve">Gilberto tem </w:t>
                  </w:r>
                  <w:r>
                    <w:rPr>
                      <w:b/>
                      <w:bCs/>
                      <w:color w:val="16161A"/>
                      <w:sz w:val="16"/>
                      <w:szCs w:val="16"/>
                    </w:rPr>
                    <w:t xml:space="preserve">duas datas por mês</w:t>
                  </w:r>
                  <w:r>
                    <w:rPr>
                      <w:color w:val="16161A"/>
                      <w:sz w:val="16"/>
                      <w:szCs w:val="16"/>
                    </w:rPr>
                    <w:t xml:space="preserve"> para seus eventos — imersões, treinamentos, palestras, gravações —, </w:t>
                  </w:r>
                  <w:r>
                    <w:rPr>
                      <w:b/>
                      <w:bCs/>
                      <w:color w:val="16161A"/>
                      <w:sz w:val="16"/>
                      <w:szCs w:val="16"/>
                    </w:rPr>
                    <w:t xml:space="preserve">sem custo de locação do espaço nem de uso dos equipamentos</w:t>
                  </w:r>
                  <w:r>
                    <w:rPr>
                      <w:color w:val="16161A"/>
                      <w:sz w:val="16"/>
                      <w:szCs w:val="16"/>
                    </w:rPr>
                    <w:t xml:space="preserve">. A receita dessas datas é </w:t>
                  </w:r>
                  <w:r>
                    <w:rPr>
                      <w:b/>
                      <w:bCs/>
                      <w:color w:val="16161A"/>
                      <w:sz w:val="16"/>
                      <w:szCs w:val="16"/>
                    </w:rPr>
                    <w:t xml:space="preserve">integralmente dele</w:t>
                  </w:r>
                  <w:r>
                    <w:rPr>
                      <w:color w:val="16161A"/>
                      <w:sz w:val="16"/>
                      <w:szCs w:val="16"/>
                    </w:rPr>
                    <w:t xml:space="preserve"> e não entra no rateio. Ele paga só os custos variáveis do dia. Indicadas com 30 dias de antecedência, têm preferência na agenda. Não são cumulativas.</w:t>
                  </w:r>
                </w:p>
              </w:tc>
            </w:tr>
          </w:tbl>
          <w:p/>
        </w:tc>
      </w:tr>
    </w:tbl>
    <w:tbl>
      <w:tblPr>
        <w:tblW w:type="dxa" w:w="1054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7944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00"/>
            </w:pPr>
            <w:r>
              <w:rPr>
                <w:b/>
                <w:bCs/>
                <w:color w:val="16161A"/>
                <w:sz w:val="16"/>
                <w:szCs w:val="16"/>
              </w:rPr>
              <w:t xml:space="preserve">Únicos custos abatidos</w:t>
            </w:r>
          </w:p>
        </w:tc>
        <w:tc>
          <w:tcPr>
            <w:tcW w:type="dxa" w:w="7944"/>
            <w:tcBorders>
              <w:top w:val="none" w:color="FFFFFF" w:sz="0"/>
              <w:left w:val="none" w:color="FFFFFF" w:sz="0"/>
              <w:bottom w:val="single" w:color="C9C5BC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00"/>
            </w:pPr>
            <w:r>
              <w:rPr>
                <w:b/>
                <w:bCs/>
                <w:color w:val="16161A"/>
                <w:sz w:val="16"/>
                <w:szCs w:val="16"/>
              </w:rPr>
              <w:t xml:space="preserve">Só o custo direto do evento: </w:t>
            </w:r>
            <w:r>
              <w:rPr>
                <w:color w:val="16161A"/>
                <w:sz w:val="16"/>
                <w:szCs w:val="16"/>
              </w:rPr>
              <w:t xml:space="preserve">operador técnico, limpeza, segurança e equipe de evento.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00"/>
            </w:pPr>
            <w:r>
              <w:rPr>
                <w:b/>
                <w:bCs/>
                <w:color w:val="16161A"/>
                <w:sz w:val="16"/>
                <w:szCs w:val="16"/>
              </w:rPr>
              <w:t xml:space="preserve">Não pode ser abatido</w:t>
            </w:r>
          </w:p>
        </w:tc>
        <w:tc>
          <w:tcPr>
            <w:tcW w:type="dxa" w:w="7944"/>
            <w:tcBorders>
              <w:top w:val="none" w:color="FFFFFF" w:sz="0"/>
              <w:left w:val="none" w:color="FFFFFF" w:sz="0"/>
              <w:bottom w:val="single" w:color="C9C5BC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00"/>
            </w:pPr>
            <w:r>
              <w:rPr>
                <w:b/>
                <w:bCs/>
                <w:color w:val="16161A"/>
                <w:sz w:val="16"/>
                <w:szCs w:val="16"/>
              </w:rPr>
              <w:t xml:space="preserve">Lista fechada: </w:t>
            </w:r>
            <w:r>
              <w:rPr>
                <w:color w:val="16161A"/>
                <w:sz w:val="16"/>
                <w:szCs w:val="16"/>
              </w:rPr>
              <w:t xml:space="preserve">pró-labore, taxa de administração, aluguel ou IPTU, energia, água, internet, portaria, ECAD, manutenção predial e dos equipamentos, royalty de marca, depreciação e despesa estranha à operação. Sem nota fiscal idônea não entra.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00"/>
            </w:pPr>
            <w:r>
              <w:rPr>
                <w:b/>
                <w:bCs/>
                <w:color w:val="16161A"/>
                <w:sz w:val="16"/>
                <w:szCs w:val="16"/>
              </w:rPr>
              <w:t xml:space="preserve">Fica com cada um</w:t>
            </w:r>
          </w:p>
        </w:tc>
        <w:tc>
          <w:tcPr>
            <w:tcW w:type="dxa" w:w="7944"/>
            <w:tcBorders>
              <w:top w:val="none" w:color="FFFFFF" w:sz="0"/>
              <w:left w:val="none" w:color="FFFFFF" w:sz="0"/>
              <w:bottom w:val="single" w:color="C9C5BC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00"/>
            </w:pPr>
            <w:r>
              <w:rPr>
                <w:b/>
                <w:bCs/>
                <w:color w:val="16161A"/>
                <w:sz w:val="16"/>
                <w:szCs w:val="16"/>
              </w:rPr>
              <w:t xml:space="preserve">Motor em Ação: </w:t>
            </w:r>
            <w:r>
              <w:rPr>
                <w:color w:val="16161A"/>
                <w:sz w:val="16"/>
                <w:szCs w:val="16"/>
              </w:rPr>
              <w:t xml:space="preserve">imóvel, manutenção predial e manutenção dos equipamentos. </w:t>
            </w:r>
            <w:r>
              <w:rPr>
                <w:b/>
                <w:bCs/>
                <w:color w:val="16161A"/>
                <w:sz w:val="16"/>
                <w:szCs w:val="16"/>
              </w:rPr>
              <w:t xml:space="preserve">Kairós: </w:t>
            </w:r>
            <w:r>
              <w:rPr>
                <w:color w:val="16161A"/>
                <w:sz w:val="16"/>
                <w:szCs w:val="16"/>
              </w:rPr>
              <w:t xml:space="preserve">só a reposição por desgaste. Conserto é deles, substituição é sua.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00"/>
            </w:pPr>
            <w:r>
              <w:rPr>
                <w:b/>
                <w:bCs/>
                <w:color w:val="16161A"/>
                <w:sz w:val="16"/>
                <w:szCs w:val="16"/>
              </w:rPr>
              <w:t xml:space="preserve">Apuração e repasse</w:t>
            </w:r>
          </w:p>
        </w:tc>
        <w:tc>
          <w:tcPr>
            <w:tcW w:type="dxa" w:w="7944"/>
            <w:tcBorders>
              <w:top w:val="none" w:color="FFFFFF" w:sz="0"/>
              <w:left w:val="none" w:color="FFFFFF" w:sz="0"/>
              <w:bottom w:val="single" w:color="C9C5BC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00"/>
            </w:pPr>
            <w:r>
              <w:rPr>
                <w:color w:val="16161A"/>
                <w:sz w:val="16"/>
                <w:szCs w:val="16"/>
              </w:rPr>
              <w:t xml:space="preserve">Fechamento </w:t>
            </w:r>
            <w:r>
              <w:rPr>
                <w:b/>
                <w:bCs/>
                <w:color w:val="16161A"/>
                <w:sz w:val="16"/>
                <w:szCs w:val="16"/>
              </w:rPr>
              <w:t xml:space="preserve">mensal</w:t>
            </w:r>
            <w:r>
              <w:rPr>
                <w:color w:val="16161A"/>
                <w:sz w:val="16"/>
                <w:szCs w:val="16"/>
              </w:rPr>
              <w:t xml:space="preserve">, com demonstrativo de cada data, receita, custo e memória de cálculo. Repasse logo após.</w:t>
            </w:r>
          </w:p>
        </w:tc>
      </w:tr>
    </w:tbl>
    <w:p>
      <w:pPr>
        <w:pBdr>
          <w:bottom w:val="single" w:color="16161A" w:sz="6" w:space="1"/>
        </w:pBdr>
        <w:spacing w:after="50" w:before="130"/>
      </w:pPr>
      <w:r>
        <w:rPr>
          <w:b/>
          <w:bCs/>
          <w:color w:val="16161A"/>
          <w:spacing w:val="30"/>
          <w:sz w:val="13"/>
          <w:szCs w:val="13"/>
        </w:rPr>
        <w:t xml:space="preserve">CONTROLE, PREÇOS E DECISÕES</w:t>
      </w:r>
    </w:p>
    <w:tbl>
      <w:tblPr>
        <w:tblW w:type="dxa" w:w="1054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7944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00"/>
            </w:pPr>
            <w:r>
              <w:rPr>
                <w:b/>
                <w:bCs/>
                <w:color w:val="16161A"/>
                <w:sz w:val="16"/>
                <w:szCs w:val="16"/>
              </w:rPr>
              <w:t xml:space="preserve">Conta e transparência</w:t>
            </w:r>
          </w:p>
        </w:tc>
        <w:tc>
          <w:tcPr>
            <w:tcW w:type="dxa" w:w="7944"/>
            <w:tcBorders>
              <w:top w:val="none" w:color="FFFFFF" w:sz="0"/>
              <w:left w:val="none" w:color="FFFFFF" w:sz="0"/>
              <w:bottom w:val="single" w:color="C9C5BC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00"/>
            </w:pPr>
            <w:r>
              <w:rPr>
                <w:b/>
                <w:bCs/>
                <w:color w:val="16161A"/>
                <w:sz w:val="16"/>
                <w:szCs w:val="16"/>
              </w:rPr>
              <w:t xml:space="preserve">Contas separadas. </w:t>
            </w:r>
            <w:r>
              <w:rPr>
                <w:color w:val="16161A"/>
                <w:sz w:val="16"/>
                <w:szCs w:val="16"/>
              </w:rPr>
              <w:t xml:space="preserve">A Kairós fatura, recebe, abate o custo operacional do evento e repassa </w:t>
            </w:r>
            <w:r>
              <w:rPr>
                <w:b/>
                <w:bCs/>
                <w:color w:val="16161A"/>
                <w:sz w:val="16"/>
                <w:szCs w:val="16"/>
              </w:rPr>
              <w:t xml:space="preserve">50% do saldo líquido</w:t>
            </w:r>
            <w:r>
              <w:rPr>
                <w:color w:val="16161A"/>
                <w:sz w:val="16"/>
                <w:szCs w:val="16"/>
              </w:rPr>
              <w:t xml:space="preserve">, com demonstrativo e notas. Valor recebido pela Motor em Ação volta para a Kairós em 48 horas.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00"/>
            </w:pPr>
            <w:r>
              <w:rPr>
                <w:b/>
                <w:bCs/>
                <w:color w:val="16161A"/>
                <w:sz w:val="16"/>
                <w:szCs w:val="16"/>
              </w:rPr>
              <w:t xml:space="preserve">Preços, agenda e decisões</w:t>
            </w:r>
          </w:p>
        </w:tc>
        <w:tc>
          <w:tcPr>
            <w:tcW w:type="dxa" w:w="7944"/>
            <w:tcBorders>
              <w:top w:val="none" w:color="FFFFFF" w:sz="0"/>
              <w:left w:val="none" w:color="FFFFFF" w:sz="0"/>
              <w:bottom w:val="single" w:color="C9C5BC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00"/>
            </w:pPr>
            <w:r>
              <w:rPr>
                <w:color w:val="16161A"/>
                <w:sz w:val="16"/>
                <w:szCs w:val="16"/>
              </w:rPr>
              <w:t xml:space="preserve">Tabela só muda de comum acordo; agenda única, por ordem de registro. Preços, equipe fixa, investimento, dívida, mudança de nome e contrato longo exigem acordo escrito.</w:t>
            </w:r>
          </w:p>
        </w:tc>
      </w:tr>
    </w:tbl>
    <w:tbl>
      <w:tblPr>
        <w:tblW w:type="dxa" w:w="1054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2"/>
        <w:gridCol w:w="5232"/>
      </w:tblGrid>
      <w:tr>
        <w:tc>
          <w:tcPr>
            <w:tcW w:type="dxa" w:w="52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Bdr>
                <w:bottom w:val="single" w:color="16161A" w:sz="6" w:space="1"/>
              </w:pBdr>
              <w:spacing w:after="50" w:before="130"/>
            </w:pPr>
            <w:r>
              <w:rPr>
                <w:b/>
                <w:bCs/>
                <w:color w:val="16161A"/>
                <w:spacing w:val="30"/>
                <w:sz w:val="13"/>
                <w:szCs w:val="13"/>
              </w:rPr>
              <w:t xml:space="preserve">O COMODATO DOS EQUIPAMENTOS</w:t>
            </w:r>
          </w:p>
          <w:p>
            <w:pPr>
              <w:spacing w:after="20" w:before="0" w:line="200"/>
            </w:pPr>
            <w:r>
              <w:rPr>
                <w:b/>
                <w:bCs/>
                <w:color w:val="16161A"/>
                <w:sz w:val="15"/>
                <w:szCs w:val="15"/>
              </w:rPr>
              <w:t xml:space="preserve">Prazo: </w:t>
            </w:r>
            <w:r>
              <w:rPr>
                <w:color w:val="16161A"/>
                <w:sz w:val="15"/>
                <w:szCs w:val="15"/>
              </w:rPr>
              <w:t xml:space="preserve">24 meses, do termo de entrega, renovando junto com a parceria. Nenhum bem vai para o espaço antes do termo assinado, com fotos.</w:t>
            </w:r>
          </w:p>
          <w:p>
            <w:pPr>
              <w:spacing w:after="20" w:before="0" w:line="200"/>
            </w:pPr>
            <w:r>
              <w:rPr>
                <w:b/>
                <w:bCs/>
                <w:color w:val="16161A"/>
                <w:sz w:val="15"/>
                <w:szCs w:val="15"/>
              </w:rPr>
              <w:t xml:space="preserve">Retirada por vontade própria: </w:t>
            </w:r>
            <w:r>
              <w:rPr>
                <w:color w:val="16161A"/>
                <w:sz w:val="15"/>
                <w:szCs w:val="15"/>
              </w:rPr>
              <w:t xml:space="preserve">Kairós pode retirar os bens avisando por escrito com 90 dias. É aviso, não pedido de autorização.</w:t>
            </w:r>
          </w:p>
          <w:p>
            <w:pPr>
              <w:spacing w:after="20" w:before="0" w:line="200"/>
            </w:pPr>
            <w:r>
              <w:rPr>
                <w:b/>
                <w:bCs/>
                <w:color w:val="16161A"/>
                <w:sz w:val="15"/>
                <w:szCs w:val="15"/>
              </w:rPr>
              <w:t xml:space="preserve">Retirada imediata: </w:t>
            </w:r>
            <w:r>
              <w:rPr>
                <w:color w:val="16161A"/>
                <w:sz w:val="15"/>
                <w:szCs w:val="15"/>
              </w:rPr>
              <w:t xml:space="preserve">Sem aviso nenhum em caso de fim do contrato, inadimplência, risco aos bens ou manutenção.</w:t>
            </w:r>
          </w:p>
          <w:p>
            <w:pPr>
              <w:spacing w:after="20" w:before="0" w:line="200"/>
            </w:pPr>
            <w:r>
              <w:rPr>
                <w:b/>
                <w:bCs/>
                <w:color w:val="16161A"/>
                <w:sz w:val="15"/>
                <w:szCs w:val="15"/>
              </w:rPr>
              <w:t xml:space="preserve">Propriedade: </w:t>
            </w:r>
            <w:r>
              <w:rPr>
                <w:color w:val="16161A"/>
                <w:sz w:val="15"/>
                <w:szCs w:val="15"/>
              </w:rPr>
              <w:t xml:space="preserve">Seguem da Kairós (ou de Gilberto, conforme o inventário) e não se incorporam ao imóvel, mesmo instalados em caráter permanente. Motor em Ação é depositária, sem direito de retenção.</w:t>
            </w:r>
          </w:p>
          <w:p>
            <w:pPr>
              <w:spacing w:after="20" w:before="0" w:line="200"/>
            </w:pPr>
            <w:r>
              <w:rPr>
                <w:b/>
                <w:bCs/>
                <w:color w:val="16161A"/>
                <w:sz w:val="15"/>
                <w:szCs w:val="15"/>
              </w:rPr>
              <w:t xml:space="preserve">Manutenção: </w:t>
            </w:r>
            <w:r>
              <w:rPr>
                <w:color w:val="16161A"/>
                <w:sz w:val="15"/>
                <w:szCs w:val="15"/>
              </w:rPr>
              <w:t xml:space="preserve">Motor em Ação paga a manutenção dos equipamentos, mas a Kairós escolhe o técnico e executa.</w:t>
            </w:r>
          </w:p>
          <w:p>
            <w:pPr>
              <w:spacing w:after="20" w:before="0" w:line="200"/>
            </w:pPr>
            <w:r>
              <w:rPr>
                <w:b/>
                <w:bCs/>
                <w:color w:val="16161A"/>
                <w:sz w:val="15"/>
                <w:szCs w:val="15"/>
              </w:rPr>
              <w:t xml:space="preserve">Garantia pessoal: </w:t>
            </w:r>
            <w:r>
              <w:rPr>
                <w:color w:val="16161A"/>
                <w:sz w:val="15"/>
                <w:szCs w:val="15"/>
              </w:rPr>
              <w:t xml:space="preserve">Luciano Duarte Peres — advogado, OAB/SC 2010, solteiro — responde com o patrimônio pessoal, como devedor solidário, sem benefício de ordem. Vale mesmo que ele saia da empresa. Sendo solteiro, não há outorga de cônjuge a colher.</w:t>
            </w:r>
          </w:p>
          <w:p>
            <w:pPr>
              <w:spacing w:after="20" w:before="0" w:line="200"/>
            </w:pPr>
            <w:r>
              <w:rPr>
                <w:b/>
                <w:bCs/>
                <w:color w:val="16161A"/>
                <w:sz w:val="15"/>
                <w:szCs w:val="15"/>
              </w:rPr>
              <w:t xml:space="preserve">Marca, CNPJ e redes: </w:t>
            </w:r>
            <w:r>
              <w:rPr>
                <w:color w:val="16161A"/>
                <w:sz w:val="15"/>
                <w:szCs w:val="15"/>
              </w:rPr>
              <w:t xml:space="preserve">Seguem sendo da Kairós, licenciados à Motor em Ação só enquanto durar a parceria.</w:t>
            </w:r>
          </w:p>
        </w:tc>
        <w:tc>
          <w:tcPr>
            <w:tcW w:type="dxa" w:w="52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Bdr>
                <w:bottom w:val="single" w:color="16161A" w:sz="6" w:space="1"/>
              </w:pBdr>
              <w:spacing w:after="50" w:before="130"/>
            </w:pPr>
            <w:r>
              <w:rPr>
                <w:b/>
                <w:bCs/>
                <w:color w:val="16161A"/>
                <w:spacing w:val="30"/>
                <w:sz w:val="13"/>
                <w:szCs w:val="13"/>
              </w:rPr>
              <w:t xml:space="preserve">PRAZO E SAÍDA</w:t>
            </w:r>
          </w:p>
          <w:p>
            <w:pPr>
              <w:spacing w:after="20" w:before="0" w:line="200"/>
            </w:pPr>
            <w:r>
              <w:rPr>
                <w:b/>
                <w:bCs/>
                <w:color w:val="16161A"/>
                <w:sz w:val="15"/>
                <w:szCs w:val="15"/>
              </w:rPr>
              <w:t xml:space="preserve">Vigência: </w:t>
            </w:r>
            <w:r>
              <w:rPr>
                <w:color w:val="16161A"/>
                <w:sz w:val="15"/>
                <w:szCs w:val="15"/>
              </w:rPr>
              <w:t xml:space="preserve">24 meses, renovando sozinha. Para não renovar, aviso escrito com 90 dias. Parceria e comodato começam e terminam juntos.</w:t>
            </w:r>
          </w:p>
          <w:p>
            <w:pPr>
              <w:spacing w:after="20" w:before="0" w:line="200"/>
            </w:pPr>
            <w:r>
              <w:rPr>
                <w:b/>
                <w:bCs/>
                <w:color w:val="16161A"/>
                <w:sz w:val="15"/>
                <w:szCs w:val="15"/>
              </w:rPr>
              <w:t xml:space="preserve">Eventos já vendidos: </w:t>
            </w:r>
            <w:r>
              <w:rPr>
                <w:color w:val="16161A"/>
                <w:sz w:val="15"/>
                <w:szCs w:val="15"/>
              </w:rPr>
              <w:t xml:space="preserve">São honrados até a data de realização, com o rateio mantido.</w:t>
            </w:r>
          </w:p>
          <w:p>
            <w:pPr>
              <w:spacing w:after="20" w:before="0" w:line="200"/>
            </w:pPr>
            <w:r>
              <w:rPr>
                <w:b/>
                <w:bCs/>
                <w:color w:val="16161A"/>
                <w:sz w:val="15"/>
                <w:szCs w:val="15"/>
              </w:rPr>
              <w:t xml:space="preserve">No encerramento: </w:t>
            </w:r>
            <w:r>
              <w:rPr>
                <w:color w:val="16161A"/>
                <w:sz w:val="15"/>
                <w:szCs w:val="15"/>
              </w:rPr>
              <w:t xml:space="preserve">Equipamentos voltam para a Kairós em até 30 dias. A licença da marca cessa e a Motor em Ação remove toda referência ao "Centro de Eventos Kairós". Acerto de contas em 30 dias.</w:t>
            </w:r>
          </w:p>
          <w:p>
            <w:pPr>
              <w:spacing w:after="20" w:before="0" w:line="200"/>
            </w:pPr>
            <w:r>
              <w:rPr>
                <w:b/>
                <w:bCs/>
                <w:color w:val="16161A"/>
                <w:sz w:val="15"/>
                <w:szCs w:val="15"/>
              </w:rPr>
              <w:t xml:space="preserve">Depois da saída: </w:t>
            </w:r>
            <w:r>
              <w:rPr>
                <w:color w:val="16161A"/>
                <w:sz w:val="15"/>
                <w:szCs w:val="15"/>
              </w:rPr>
              <w:t xml:space="preserve">Sigilo por 2 anos. Motor em Ação pode seguir com o imóvel, com marca própria, sem usar a marca, a carteira ou os equipamentos da Kairós.</w:t>
            </w:r>
          </w:p>
        </w:tc>
      </w:tr>
    </w:tbl>
    <w:p>
      <w:pPr>
        <w:pBdr>
          <w:bottom w:val="single" w:color="16161A" w:sz="6" w:space="1"/>
        </w:pBdr>
        <w:spacing w:after="50" w:before="130"/>
      </w:pPr>
      <w:r>
        <w:rPr>
          <w:b/>
          <w:bCs/>
          <w:color w:val="16161A"/>
          <w:spacing w:val="30"/>
          <w:sz w:val="13"/>
          <w:szCs w:val="13"/>
        </w:rPr>
        <w:t xml:space="preserve">PONTOS AINDA EM ABERTO</w:t>
      </w:r>
    </w:p>
    <w:p>
      <w:pPr>
        <w:spacing w:after="20" w:before="0" w:line="200"/>
        <w:ind w:left="180" w:hanging="180"/>
      </w:pPr>
      <w:r>
        <w:rPr>
          <w:b/>
          <w:bCs/>
          <w:color w:val="D6412B"/>
          <w:sz w:val="15"/>
          <w:szCs w:val="15"/>
        </w:rPr>
        <w:t xml:space="preserve">1. </w:t>
      </w:r>
      <w:r>
        <w:rPr>
          <w:b/>
          <w:bCs/>
          <w:color w:val="16161A"/>
          <w:sz w:val="15"/>
          <w:szCs w:val="15"/>
        </w:rPr>
        <w:t xml:space="preserve">Em que qualidade o Luciano assinou? </w:t>
      </w:r>
      <w:r>
        <w:rPr>
          <w:color w:val="16161A"/>
          <w:sz w:val="15"/>
          <w:szCs w:val="15"/>
        </w:rPr>
        <w:t xml:space="preserve">Ele e o Davi assinaram pela Motor em Ação. Se ele assinou só como representante, a garantia pessoal não se constituiu — por mais que o texto a descreva. Garantidor assina em nome próprio. Olhe o papel.</w:t>
      </w:r>
    </w:p>
    <w:p>
      <w:pPr>
        <w:spacing w:after="20" w:before="0" w:line="200"/>
        <w:ind w:left="180" w:hanging="180"/>
      </w:pPr>
      <w:r>
        <w:rPr>
          <w:b/>
          <w:bCs/>
          <w:color w:val="D6412B"/>
          <w:sz w:val="15"/>
          <w:szCs w:val="15"/>
        </w:rPr>
        <w:t xml:space="preserve">2. </w:t>
      </w:r>
      <w:r>
        <w:rPr>
          <w:b/>
          <w:bCs/>
          <w:color w:val="16161A"/>
          <w:sz w:val="15"/>
          <w:szCs w:val="15"/>
        </w:rPr>
        <w:t xml:space="preserve">O contrato tem cláusulas que o papel assinado não tinha. </w:t>
      </w:r>
      <w:r>
        <w:rPr>
          <w:color w:val="16161A"/>
          <w:sz w:val="15"/>
          <w:szCs w:val="15"/>
        </w:rPr>
        <w:t xml:space="preserve">O garantidor do outro lado é advogado e vai comparar. Os dois pontos que ele deve contestar são a retirada dos equipamentos ("solicitar" × "avisar") e a contagem do inventário.</w:t>
      </w:r>
    </w:p>
    <w:p>
      <w:pPr>
        <w:spacing w:after="20" w:before="0" w:line="200"/>
        <w:ind w:left="180" w:hanging="180"/>
      </w:pPr>
      <w:r>
        <w:rPr>
          <w:b/>
          <w:bCs/>
          <w:color w:val="D6412B"/>
          <w:sz w:val="15"/>
          <w:szCs w:val="15"/>
        </w:rPr>
        <w:t xml:space="preserve">3. </w:t>
      </w:r>
      <w:r>
        <w:rPr>
          <w:b/>
          <w:bCs/>
          <w:color w:val="16161A"/>
          <w:sz w:val="15"/>
          <w:szCs w:val="15"/>
        </w:rPr>
        <w:t xml:space="preserve">O imposto ficou todo com você. </w:t>
      </w:r>
      <w:r>
        <w:rPr>
          <w:color w:val="16161A"/>
          <w:sz w:val="15"/>
          <w:szCs w:val="15"/>
        </w:rPr>
        <w:t xml:space="preserve">O tributo sobre a receita não é abatido antes da divisão, e o faturamento sai no seu CNPJ. Cerca de R$ 600 por evento do seu bolso.</w:t>
      </w:r>
    </w:p>
    <w:p>
      <w:pPr>
        <w:spacing w:after="20" w:before="0" w:line="200"/>
        <w:ind w:left="180" w:hanging="180"/>
      </w:pPr>
      <w:r>
        <w:rPr>
          <w:b/>
          <w:bCs/>
          <w:color w:val="D6412B"/>
          <w:sz w:val="15"/>
          <w:szCs w:val="15"/>
        </w:rPr>
        <w:t xml:space="preserve">4. </w:t>
      </w:r>
      <w:r>
        <w:rPr>
          <w:b/>
          <w:bCs/>
          <w:color w:val="16161A"/>
          <w:sz w:val="15"/>
          <w:szCs w:val="15"/>
        </w:rPr>
        <w:t xml:space="preserve">Vale tentar o Davi também como devedor solidário. </w:t>
      </w:r>
      <w:r>
        <w:rPr>
          <w:color w:val="16161A"/>
          <w:sz w:val="15"/>
          <w:szCs w:val="15"/>
        </w:rPr>
        <w:t xml:space="preserve">Quem aparece como sócio é ele. Dois garantidores valem mais que um.</w:t>
      </w:r>
    </w:p>
    <w:p>
      <w:pPr>
        <w:spacing w:after="20" w:before="0" w:line="200"/>
        <w:ind w:left="180" w:hanging="180"/>
      </w:pPr>
      <w:r>
        <w:rPr>
          <w:b/>
          <w:bCs/>
          <w:color w:val="D6412B"/>
          <w:sz w:val="15"/>
          <w:szCs w:val="15"/>
        </w:rPr>
        <w:t xml:space="preserve">5. </w:t>
      </w:r>
      <w:r>
        <w:rPr>
          <w:b/>
          <w:bCs/>
          <w:color w:val="16161A"/>
          <w:sz w:val="15"/>
          <w:szCs w:val="15"/>
        </w:rPr>
        <w:t xml:space="preserve">Endereço do imóvel e inventário definitivo </w:t>
      </w:r>
      <w:r>
        <w:rPr>
          <w:color w:val="16161A"/>
          <w:sz w:val="15"/>
          <w:szCs w:val="15"/>
        </w:rPr>
        <w:t xml:space="preserve">com série, titularidade e valor de reposição, assinado na apuração dos 30 dias.</w:t>
      </w:r>
    </w:p>
    <w:p>
      <w:pPr>
        <w:spacing w:after="20" w:before="0" w:line="200"/>
        <w:ind w:left="180" w:hanging="180"/>
      </w:pPr>
      <w:r>
        <w:rPr>
          <w:b/>
          <w:bCs/>
          <w:color w:val="D6412B"/>
          <w:sz w:val="15"/>
          <w:szCs w:val="15"/>
        </w:rPr>
        <w:t xml:space="preserve">6. </w:t>
      </w:r>
      <w:r>
        <w:rPr>
          <w:b/>
          <w:bCs/>
          <w:color w:val="16161A"/>
          <w:sz w:val="15"/>
          <w:szCs w:val="15"/>
        </w:rPr>
        <w:t xml:space="preserve">Valores </w:t>
      </w:r>
      <w:r>
        <w:rPr>
          <w:color w:val="16161A"/>
          <w:sz w:val="15"/>
          <w:szCs w:val="15"/>
        </w:rPr>
        <w:t xml:space="preserve">da multa por violação e da cobertura do seguro de responsabilidade civil, além do foro e da data de início.</w:t>
      </w:r>
    </w:p>
    <w:p>
      <w:pPr>
        <w:pBdr>
          <w:top w:val="single" w:color="C9C5BC" w:sz="2" w:space="3"/>
        </w:pBdr>
        <w:spacing w:before="100"/>
      </w:pPr>
      <w:r>
        <w:rPr>
          <w:color w:val="6E6A63"/>
          <w:sz w:val="12"/>
          <w:szCs w:val="12"/>
        </w:rPr>
        <w:t xml:space="preserve">Versão de trabalho · 28/09/2026 · o documento assinado está em arquivo próprio  ·  Sujeito a revisão jurídica antes da assinatura</w:t>
      </w:r>
    </w:p>
    <w:sectPr>
      <w:pgSz w:w="11905" w:h="16837" w:orient="portrait"/>
      <w:pgMar w:top="623" w:right="680" w:bottom="566" w:left="6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61A"/>
        <w:sz w:val="16"/>
        <w:szCs w:val="16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2026-09-28T18:59:09.802Z</dcterms:created>
  <dcterms:modified xsi:type="dcterms:W3CDTF">2026-09-28T18:59:09.803Z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