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BUILDEX ECOSYSTEM</w:t>
      </w:r>
    </w:p>
    <w:p>
      <w:pPr>
        <w:jc w:val="center"/>
      </w:pPr>
      <w:r>
        <w:rPr>
          <w:b/>
          <w:sz w:val="36"/>
        </w:rPr>
        <w:t>Project Next Steps &amp; Implementation Roadmap</w:t>
      </w:r>
    </w:p>
    <w:p>
      <w:pPr>
        <w:jc w:val="center"/>
      </w:pPr>
      <w:r>
        <w:rPr>
          <w:i/>
        </w:rPr>
        <w:t>Buildex • Buildex Capital • Buildex Connect</w:t>
      </w:r>
    </w:p>
    <w:p>
      <w:r>
        <w:t>Prepared as a consolidated action document from the strategic briefing and subsequent project discussions.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Buildex is transitioning from a product-centric interior and construction-supply business into an integrated platform ecosystem. The strategy connects three complementary businesses: Buildex for product supply, Buildex Capital for financing, and Buildex Connect for manufacturer-to-hardware marketplace services. The immediate objective is to build the data, payment, credit, marketplace and operational infrastructure required to make the ecosystem scalable while controlling financial and portfolio risk.</w:t>
      </w:r>
    </w:p>
    <w:p>
      <w:r>
        <w:t>The next phase should focus on four foundations: (1) formal credit and risk policies, (2) reliable transaction and wallet data, (3) a measurable credit-scoring and loan-management engine, and (4) a verified manufacturer and hardware marketplace. A pilot should be deliberately small, controlled and measurable before larger credit limits are introduced.</w:t>
      </w:r>
    </w:p>
    <w:p>
      <w:pPr>
        <w:pStyle w:val="Heading1"/>
      </w:pPr>
      <w:r>
        <w:t>2. Strategic Vision</w:t>
      </w:r>
    </w:p>
    <w:p>
      <w:pPr>
        <w:pStyle w:val="ListBullet"/>
      </w:pPr>
      <w:r>
        <w:t>Create a one-stop platform where hardware shops can source products, access financing, manage inventory and connect with manufacturers and service providers.</w:t>
      </w:r>
    </w:p>
    <w:p>
      <w:pPr>
        <w:pStyle w:val="ListBullet"/>
      </w:pPr>
      <w:r>
        <w:t>Capture chain-level data from manufacturer → Buildex → hardware → POS transaction → end consumer.</w:t>
      </w:r>
    </w:p>
    <w:p>
      <w:pPr>
        <w:pStyle w:val="ListBullet"/>
      </w:pPr>
      <w:r>
        <w:t>Use transaction data to improve credit decisions, inventory recommendations, customer engagement and manufacturer market intelligence.</w:t>
      </w:r>
    </w:p>
    <w:p>
      <w:pPr>
        <w:pStyle w:val="ListBullet"/>
      </w:pPr>
      <w:r>
        <w:t>Create ecosystem stickiness through useful financial and commercial services rather than relying only on product supply.</w:t>
      </w:r>
    </w:p>
    <w:p>
      <w:pPr>
        <w:pStyle w:val="ListBullet"/>
      </w:pPr>
      <w:r>
        <w:t>Develop Buildex Agents over time: verified hardware shops operating the Buildex technology stack without Buildex owning every physical outlet.</w:t>
      </w:r>
    </w:p>
    <w:p>
      <w:pPr>
        <w:pStyle w:val="Heading1"/>
      </w:pPr>
      <w:r>
        <w:t>3. Ecosystem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Primary Role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Strategic Asset</w:t>
            </w:r>
          </w:p>
        </w:tc>
      </w:tr>
      <w:tr>
        <w:tc>
          <w:tcPr>
            <w:tcW w:type="dxa" w:w="3360"/>
            <w:vAlign w:val="top"/>
          </w:tcPr>
          <w:p>
            <w:r>
              <w:t>Buildex</w:t>
            </w:r>
          </w:p>
        </w:tc>
        <w:tc>
          <w:tcPr>
            <w:tcW w:type="dxa" w:w="3360"/>
            <w:vAlign w:val="top"/>
          </w:tcPr>
          <w:p>
            <w:r>
              <w:t>Product supply and distribution</w:t>
            </w:r>
          </w:p>
        </w:tc>
        <w:tc>
          <w:tcPr>
            <w:tcW w:type="dxa" w:w="3360"/>
            <w:vAlign w:val="top"/>
          </w:tcPr>
          <w:p>
            <w:r>
              <w:t>Supply relationships, inventory and hardware network</w:t>
            </w:r>
          </w:p>
        </w:tc>
      </w:tr>
      <w:tr>
        <w:tc>
          <w:tcPr>
            <w:tcW w:type="dxa" w:w="3360"/>
            <w:vAlign w:val="top"/>
          </w:tcPr>
          <w:p>
            <w:r>
              <w:t>Buildex Capital</w:t>
            </w:r>
          </w:p>
        </w:tc>
        <w:tc>
          <w:tcPr>
            <w:tcW w:type="dxa" w:w="3360"/>
            <w:vAlign w:val="top"/>
          </w:tcPr>
          <w:p>
            <w:r>
              <w:t>Credit, financing and collections</w:t>
            </w:r>
          </w:p>
        </w:tc>
        <w:tc>
          <w:tcPr>
            <w:tcW w:type="dxa" w:w="3360"/>
            <w:vAlign w:val="top"/>
          </w:tcPr>
          <w:p>
            <w:r>
              <w:t>Credit data, repayment history and financial products</w:t>
            </w:r>
          </w:p>
        </w:tc>
      </w:tr>
      <w:tr>
        <w:tc>
          <w:tcPr>
            <w:tcW w:type="dxa" w:w="3360"/>
            <w:vAlign w:val="top"/>
          </w:tcPr>
          <w:p>
            <w:r>
              <w:t>Buildex Connect</w:t>
            </w:r>
          </w:p>
        </w:tc>
        <w:tc>
          <w:tcPr>
            <w:tcW w:type="dxa" w:w="3360"/>
            <w:vAlign w:val="top"/>
          </w:tcPr>
          <w:p>
            <w:r>
              <w:t>Manufacturer marketplace</w:t>
            </w:r>
          </w:p>
        </w:tc>
        <w:tc>
          <w:tcPr>
            <w:tcW w:type="dxa" w:w="3360"/>
            <w:vAlign w:val="top"/>
          </w:tcPr>
          <w:p>
            <w:r>
              <w:t>Manufacturer network, product catalogue and market intelligence</w:t>
            </w:r>
          </w:p>
        </w:tc>
      </w:tr>
    </w:tbl>
    <w:p>
      <w:pPr>
        <w:pStyle w:val="Heading1"/>
      </w:pPr>
      <w:r>
        <w:t>4. Buildex Capital — Credit Programme</w:t>
      </w:r>
    </w:p>
    <w:p>
      <w:pPr>
        <w:pStyle w:val="Heading2"/>
      </w:pPr>
      <w:r>
        <w:t>4.1 Credit Qualification &amp; Scoring</w:t>
      </w:r>
    </w:p>
    <w:p>
      <w:pPr>
        <w:pStyle w:val="ListBullet"/>
      </w:pPr>
      <w:r>
        <w:t>Require a defined historical operating period before normal credit eligibility; the current proposal is a minimum six-month membership/usage period.</w:t>
      </w:r>
    </w:p>
    <w:p>
      <w:pPr>
        <w:pStyle w:val="ListBullet"/>
      </w:pPr>
      <w:r>
        <w:t>Measure active platform usage, turnover, payment behaviour, stock movement, cash-conversion cycle and transaction consistency.</w:t>
      </w:r>
    </w:p>
    <w:p>
      <w:pPr>
        <w:pStyle w:val="ListBullet"/>
      </w:pPr>
      <w:r>
        <w:t>Use available M-Pesa/payment data, bank statements, CRB information and verified business/identity records where legally permitted.</w:t>
      </w:r>
    </w:p>
    <w:p>
      <w:pPr>
        <w:pStyle w:val="ListBullet"/>
      </w:pPr>
      <w:r>
        <w:t>Profile the individual borrower as well as the business, with clear rules for personal guarantees, business obligations and accountability.</w:t>
      </w:r>
    </w:p>
    <w:p>
      <w:pPr>
        <w:pStyle w:val="ListBullet"/>
      </w:pPr>
      <w:r>
        <w:t>Use a total business credit limit as the primary facility, with optional product/category sub-limits where risk requires them.</w:t>
      </w:r>
    </w:p>
    <w:p>
      <w:pPr>
        <w:pStyle w:val="ListBullet"/>
      </w:pPr>
      <w:r>
        <w:t>Target a high level of platform transaction visibility; the current strategic threshold is that hardware shops process at least 80% of turnover through the system before qualifying for the main credit facility.</w:t>
      </w:r>
    </w:p>
    <w:p>
      <w:pPr>
        <w:pStyle w:val="ListBullet"/>
      </w:pPr>
      <w:r>
        <w:t>Use the first pilot to validate whether the proposed scoring variables actually predict repayment before increasing limits.</w:t>
      </w:r>
    </w:p>
    <w:p>
      <w:pPr>
        <w:pStyle w:val="Heading2"/>
      </w:pPr>
      <w:r>
        <w:t>4.2 Proposed Credit Limits &amp; Pilot</w:t>
      </w:r>
    </w:p>
    <w:p>
      <w:pPr>
        <w:pStyle w:val="ListBullet"/>
      </w:pPr>
      <w:r>
        <w:t>Pilot entry limit: approximately KSh 30,000 for controlled testing.</w:t>
      </w:r>
    </w:p>
    <w:p>
      <w:pPr>
        <w:pStyle w:val="ListBullet"/>
      </w:pPr>
      <w:r>
        <w:t>Longer-term limits may scale into the millions for consistently performing businesses; earlier strategic discussions referenced potential limits around KSh 3–4 million.</w:t>
      </w:r>
    </w:p>
    <w:p>
      <w:pPr>
        <w:pStyle w:val="ListBullet"/>
      </w:pPr>
      <w:r>
        <w:t>Do not automatically grant high limits based only on turnover. Limits should be derived from verified repayment capacity, cash cycle, platform activity, exposure concentration and loss experience.</w:t>
      </w:r>
    </w:p>
    <w:p>
      <w:pPr>
        <w:pStyle w:val="ListBullet"/>
      </w:pPr>
      <w:r>
        <w:t>Automatically review or reset available credit when outstanding balances are cleared, subject to risk rules.</w:t>
      </w:r>
    </w:p>
    <w:p>
      <w:pPr>
        <w:pStyle w:val="Heading2"/>
      </w:pPr>
      <w:r>
        <w:t>4.3 Credit Tenors &amp; Pricing</w:t>
      </w:r>
    </w:p>
    <w:p>
      <w:pPr>
        <w:pStyle w:val="ListBullet"/>
      </w:pPr>
      <w:r>
        <w:t>Initial proposed repayment cycles: 5, 10 and 14 days.</w:t>
      </w:r>
    </w:p>
    <w:p>
      <w:pPr>
        <w:pStyle w:val="ListBullet"/>
      </w:pPr>
      <w:r>
        <w:t>Evaluate commercial pricing for each tenor and document the economic rationale, effective cost and customer disclosure requirements.</w:t>
      </w:r>
    </w:p>
    <w:p>
      <w:pPr>
        <w:pStyle w:val="ListBullet"/>
      </w:pPr>
      <w:r>
        <w:t>Any pricing model based on deferred payment or increased product price must be reviewed by legal/compliance professionals before launch.</w:t>
      </w:r>
    </w:p>
    <w:p>
      <w:pPr>
        <w:pStyle w:val="ListBullet"/>
      </w:pPr>
      <w:r>
        <w:t>Define approval thresholds, overrides, exception handling and escalation procedures.</w:t>
      </w:r>
    </w:p>
    <w:p>
      <w:pPr>
        <w:pStyle w:val="Heading2"/>
      </w:pPr>
      <w:r>
        <w:t>4.4 Repayment, Wallet &amp; Collections</w:t>
      </w:r>
    </w:p>
    <w:p>
      <w:pPr>
        <w:pStyle w:val="ListBullet"/>
      </w:pPr>
      <w:r>
        <w:t>Provide eligible hardware businesses with a digital wallet/payment account integrated with the platform.</w:t>
      </w:r>
    </w:p>
    <w:p>
      <w:pPr>
        <w:pStyle w:val="ListBullet"/>
      </w:pPr>
      <w:r>
        <w:t>Route qualifying POS collections through the wallet to create reliable transaction history and facilitate repayment.</w:t>
      </w:r>
    </w:p>
    <w:p>
      <w:pPr>
        <w:pStyle w:val="ListBullet"/>
      </w:pPr>
      <w:r>
        <w:t>Evaluate automatic collection/sweeping mechanisms at agreed intervals, including the proposed five-day sweep cycle and loan due-date collection.</w:t>
      </w:r>
    </w:p>
    <w:p>
      <w:pPr>
        <w:pStyle w:val="ListBullet"/>
      </w:pPr>
      <w:r>
        <w:t>Define reserve/security requirements where appropriate.</w:t>
      </w:r>
    </w:p>
    <w:p>
      <w:pPr>
        <w:pStyle w:val="ListBullet"/>
      </w:pPr>
      <w:r>
        <w:t>Track Days Past Due (DPD), Non-Performing Loans (NPL), outstanding principal, expected collections, recoveries and write-offs.</w:t>
      </w:r>
    </w:p>
    <w:p>
      <w:pPr>
        <w:pStyle w:val="ListBullet"/>
      </w:pPr>
      <w:r>
        <w:t>Design a documented recovery process before issuing meaningful credit. The proposed 37-day recovery concept should be treated as a policy hypothesis to be validated by the credit professional and legal advisers.</w:t>
      </w:r>
    </w:p>
    <w:p>
      <w:pPr>
        <w:pStyle w:val="Heading1"/>
      </w:pPr>
      <w:r>
        <w:t>5. Regulatory, Legal &amp; Risk Workstream</w:t>
      </w:r>
    </w:p>
    <w:p>
      <w:r>
        <w:t>Regulatory exposure should be treated as a design constraint, not something to be avoided through structuring. Before the lending pilot, Buildex should obtain professional Kenyan legal and regulatory advice on the applicable lending, payments, consumer-protection, data-protection, credit-reference and financial-services requirements.</w:t>
      </w:r>
    </w:p>
    <w:p>
      <w:pPr>
        <w:pStyle w:val="ListBullet"/>
      </w:pPr>
      <w:r>
        <w:t>Engage a qualified credit-policy/risk professional to draft the lending framework.</w:t>
      </w:r>
    </w:p>
    <w:p>
      <w:pPr>
        <w:pStyle w:val="ListBullet"/>
      </w:pPr>
      <w:r>
        <w:t>Engage Kenyan legal/compliance counsel to confirm the regulatory perimeter for the proposed lending, wallet and payment-collection model.</w:t>
      </w:r>
    </w:p>
    <w:p>
      <w:pPr>
        <w:pStyle w:val="ListBullet"/>
      </w:pPr>
      <w:r>
        <w:t>Document responsible lending, affordability, pricing, disclosure, complaints, collections and data-processing requirements.</w:t>
      </w:r>
    </w:p>
    <w:p>
      <w:pPr>
        <w:pStyle w:val="ListBullet"/>
      </w:pPr>
      <w:r>
        <w:t>Define portfolio concentration limits, maximum exposure per borrower, sector/geographic limits and approval authority.</w:t>
      </w:r>
    </w:p>
    <w:p>
      <w:pPr>
        <w:pStyle w:val="ListBullet"/>
      </w:pPr>
      <w:r>
        <w:t>Establish fraud controls, identity verification, KYB/KYC procedures and audit trails.</w:t>
      </w:r>
    </w:p>
    <w:p>
      <w:pPr>
        <w:pStyle w:val="ListBullet"/>
      </w:pPr>
      <w:r>
        <w:t>Do not launch or scale a credit product on the assumption that a particular business structure automatically removes regulatory obligations.</w:t>
      </w:r>
    </w:p>
    <w:p>
      <w:pPr>
        <w:pStyle w:val="Heading1"/>
      </w:pPr>
      <w:r>
        <w:t>6. Payment &amp; Wallet Integration</w:t>
      </w:r>
    </w:p>
    <w:p>
      <w:pPr>
        <w:pStyle w:val="Heading2"/>
      </w:pPr>
      <w:r>
        <w:t>6.1 Immediate Requirements</w:t>
      </w:r>
    </w:p>
    <w:p>
      <w:pPr>
        <w:pStyle w:val="ListBullet"/>
      </w:pPr>
      <w:r>
        <w:t>Select the initial payment channels for the pilot, including the M-Pesa integration strategy.</w:t>
      </w:r>
    </w:p>
    <w:p>
      <w:pPr>
        <w:pStyle w:val="ListBullet"/>
      </w:pPr>
      <w:r>
        <w:t>Create a wallet/account ledger capable of recording collections, disbursements, repayments, fees and reversals.</w:t>
      </w:r>
    </w:p>
    <w:p>
      <w:pPr>
        <w:pStyle w:val="ListBullet"/>
      </w:pPr>
      <w:r>
        <w:t>Connect POS transactions to the wallet so the system can calculate turnover routed through Buildex.</w:t>
      </w:r>
    </w:p>
    <w:p>
      <w:pPr>
        <w:pStyle w:val="ListBullet"/>
      </w:pPr>
      <w:r>
        <w:t>Implement automated reconciliation between payment providers, wallet balances, POS transactions and loan accounts.</w:t>
      </w:r>
    </w:p>
    <w:p>
      <w:pPr>
        <w:pStyle w:val="ListBullet"/>
      </w:pPr>
      <w:r>
        <w:t>Create alerts for failed collections, insufficient wallet balance, unusual transaction behaviour and repayment risk.</w:t>
      </w:r>
    </w:p>
    <w:p>
      <w:pPr>
        <w:pStyle w:val="Heading2"/>
      </w:pPr>
      <w:r>
        <w:t>6.2 Cash-Conversion Monitoring</w:t>
      </w:r>
    </w:p>
    <w:p>
      <w:pPr>
        <w:pStyle w:val="ListBullet"/>
      </w:pPr>
      <w:r>
        <w:t>Calculate average days from stock purchase to sale and from sale to cash collection.</w:t>
      </w:r>
    </w:p>
    <w:p>
      <w:pPr>
        <w:pStyle w:val="ListBullet"/>
      </w:pPr>
      <w:r>
        <w:t>Identify peak liquidity periods and recurring cash shortages.</w:t>
      </w:r>
    </w:p>
    <w:p>
      <w:pPr>
        <w:pStyle w:val="ListBullet"/>
      </w:pPr>
      <w:r>
        <w:t>Compare credit tenor against the actual cash cycle before increasing a borrower's limit.</w:t>
      </w:r>
    </w:p>
    <w:p>
      <w:pPr>
        <w:pStyle w:val="ListBullet"/>
      </w:pPr>
      <w:r>
        <w:t>Monitor stock velocity and gross-margin characteristics by product category.</w:t>
      </w:r>
    </w:p>
    <w:p>
      <w:pPr>
        <w:pStyle w:val="Heading1"/>
      </w:pPr>
      <w:r>
        <w:t>7. Hardware Partner Qualification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Proposed Requirement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360"/>
            <w:vAlign w:val="top"/>
          </w:tcPr>
          <w:p>
            <w:r>
              <w:t>Membership history</w:t>
            </w:r>
          </w:p>
        </w:tc>
        <w:tc>
          <w:tcPr>
            <w:tcW w:type="dxa" w:w="3360"/>
            <w:vAlign w:val="top"/>
          </w:tcPr>
          <w:p>
            <w:r>
              <w:t>Minimum 6 months of meaningful platform activity</w:t>
            </w:r>
          </w:p>
        </w:tc>
        <w:tc>
          <w:tcPr>
            <w:tcW w:type="dxa" w:w="3360"/>
            <w:vAlign w:val="top"/>
          </w:tcPr>
          <w:p>
            <w:r>
              <w:t>Eligibility flag</w:t>
            </w:r>
          </w:p>
        </w:tc>
      </w:tr>
      <w:tr>
        <w:tc>
          <w:tcPr>
            <w:tcW w:type="dxa" w:w="3360"/>
            <w:vAlign w:val="top"/>
          </w:tcPr>
          <w:p>
            <w:r>
              <w:t>Platform turnover</w:t>
            </w:r>
          </w:p>
        </w:tc>
        <w:tc>
          <w:tcPr>
            <w:tcW w:type="dxa" w:w="3360"/>
            <w:vAlign w:val="top"/>
          </w:tcPr>
          <w:p>
            <w:r>
              <w:t>Target ≥80% of turnover processed through Buildex</w:t>
            </w:r>
          </w:p>
        </w:tc>
        <w:tc>
          <w:tcPr>
            <w:tcW w:type="dxa" w:w="3360"/>
            <w:vAlign w:val="top"/>
          </w:tcPr>
          <w:p>
            <w:r>
              <w:t>Verified transaction ratio</w:t>
            </w:r>
          </w:p>
        </w:tc>
      </w:tr>
      <w:tr>
        <w:tc>
          <w:tcPr>
            <w:tcW w:type="dxa" w:w="3360"/>
            <w:vAlign w:val="top"/>
          </w:tcPr>
          <w:p>
            <w:r>
              <w:t>Identity/KYB</w:t>
            </w:r>
          </w:p>
        </w:tc>
        <w:tc>
          <w:tcPr>
            <w:tcW w:type="dxa" w:w="3360"/>
            <w:vAlign w:val="top"/>
          </w:tcPr>
          <w:p>
            <w:r>
              <w:t>Verified individual and business information</w:t>
            </w:r>
          </w:p>
        </w:tc>
        <w:tc>
          <w:tcPr>
            <w:tcW w:type="dxa" w:w="3360"/>
            <w:vAlign w:val="top"/>
          </w:tcPr>
          <w:p>
            <w:r>
              <w:t>Verified profile</w:t>
            </w:r>
          </w:p>
        </w:tc>
      </w:tr>
      <w:tr>
        <w:tc>
          <w:tcPr>
            <w:tcW w:type="dxa" w:w="3360"/>
            <w:vAlign w:val="top"/>
          </w:tcPr>
          <w:p>
            <w:r>
              <w:t>Credit history</w:t>
            </w:r>
          </w:p>
        </w:tc>
        <w:tc>
          <w:tcPr>
            <w:tcW w:type="dxa" w:w="3360"/>
            <w:vAlign w:val="top"/>
          </w:tcPr>
          <w:p>
            <w:r>
              <w:t>CRB and internal repayment history where permitted</w:t>
            </w:r>
          </w:p>
        </w:tc>
        <w:tc>
          <w:tcPr>
            <w:tcW w:type="dxa" w:w="3360"/>
            <w:vAlign w:val="top"/>
          </w:tcPr>
          <w:p>
            <w:r>
              <w:t>Risk indicators</w:t>
            </w:r>
          </w:p>
        </w:tc>
      </w:tr>
      <w:tr>
        <w:tc>
          <w:tcPr>
            <w:tcW w:type="dxa" w:w="3360"/>
            <w:vAlign w:val="top"/>
          </w:tcPr>
          <w:p>
            <w:r>
              <w:t>Sales behaviour</w:t>
            </w:r>
          </w:p>
        </w:tc>
        <w:tc>
          <w:tcPr>
            <w:tcW w:type="dxa" w:w="3360"/>
            <w:vAlign w:val="top"/>
          </w:tcPr>
          <w:p>
            <w:r>
              <w:t>Consistent sales and customer activity</w:t>
            </w:r>
          </w:p>
        </w:tc>
        <w:tc>
          <w:tcPr>
            <w:tcW w:type="dxa" w:w="3360"/>
            <w:vAlign w:val="top"/>
          </w:tcPr>
          <w:p>
            <w:r>
              <w:t>Turnover profile</w:t>
            </w:r>
          </w:p>
        </w:tc>
      </w:tr>
      <w:tr>
        <w:tc>
          <w:tcPr>
            <w:tcW w:type="dxa" w:w="3360"/>
            <w:vAlign w:val="top"/>
          </w:tcPr>
          <w:p>
            <w:r>
              <w:t>Stock behaviour</w:t>
            </w:r>
          </w:p>
        </w:tc>
        <w:tc>
          <w:tcPr>
            <w:tcW w:type="dxa" w:w="3360"/>
            <w:vAlign w:val="top"/>
          </w:tcPr>
          <w:p>
            <w:r>
              <w:t>Healthy stock movement and replenishment</w:t>
            </w:r>
          </w:p>
        </w:tc>
        <w:tc>
          <w:tcPr>
            <w:tcW w:type="dxa" w:w="3360"/>
            <w:vAlign w:val="top"/>
          </w:tcPr>
          <w:p>
            <w:r>
              <w:t>Inventory risk profile</w:t>
            </w:r>
          </w:p>
        </w:tc>
      </w:tr>
      <w:tr>
        <w:tc>
          <w:tcPr>
            <w:tcW w:type="dxa" w:w="3360"/>
            <w:vAlign w:val="top"/>
          </w:tcPr>
          <w:p>
            <w:r>
              <w:t>Cash cycle</w:t>
            </w:r>
          </w:p>
        </w:tc>
        <w:tc>
          <w:tcPr>
            <w:tcW w:type="dxa" w:w="3360"/>
            <w:vAlign w:val="top"/>
          </w:tcPr>
          <w:p>
            <w:r>
              <w:t>Demonstrated ability to convert stock into cash</w:t>
            </w:r>
          </w:p>
        </w:tc>
        <w:tc>
          <w:tcPr>
            <w:tcW w:type="dxa" w:w="3360"/>
            <w:vAlign w:val="top"/>
          </w:tcPr>
          <w:p>
            <w:r>
              <w:t>Recommended tenor/limit</w:t>
            </w:r>
          </w:p>
        </w:tc>
      </w:tr>
      <w:tr>
        <w:tc>
          <w:tcPr>
            <w:tcW w:type="dxa" w:w="3360"/>
            <w:vAlign w:val="top"/>
          </w:tcPr>
          <w:p>
            <w:r>
              <w:t>Repayment</w:t>
            </w:r>
          </w:p>
        </w:tc>
        <w:tc>
          <w:tcPr>
            <w:tcW w:type="dxa" w:w="3360"/>
            <w:vAlign w:val="top"/>
          </w:tcPr>
          <w:p>
            <w:r>
              <w:t>No unexplained persistent arrears</w:t>
            </w:r>
          </w:p>
        </w:tc>
        <w:tc>
          <w:tcPr>
            <w:tcW w:type="dxa" w:w="3360"/>
            <w:vAlign w:val="top"/>
          </w:tcPr>
          <w:p>
            <w:r>
              <w:t>Risk grade</w:t>
            </w:r>
          </w:p>
        </w:tc>
      </w:tr>
    </w:tbl>
    <w:p>
      <w:pPr>
        <w:pStyle w:val="Heading1"/>
      </w:pPr>
      <w:r>
        <w:t>8. Buildex Connect — Manufacturer Marketplace</w:t>
      </w:r>
    </w:p>
    <w:p>
      <w:pPr>
        <w:pStyle w:val="Heading2"/>
      </w:pPr>
      <w:r>
        <w:t>8.1 Onboarding &amp; Verification</w:t>
      </w:r>
    </w:p>
    <w:p>
      <w:pPr>
        <w:pStyle w:val="ListBullet"/>
      </w:pPr>
      <w:r>
        <w:t>Collect KRA/tax information, BRS/business registration documents and other required company information.</w:t>
      </w:r>
    </w:p>
    <w:p>
      <w:pPr>
        <w:pStyle w:val="ListBullet"/>
      </w:pPr>
      <w:r>
        <w:t>Verify submitted business information through authoritative sources where integrations and permissions allow.</w:t>
      </w:r>
    </w:p>
    <w:p>
      <w:pPr>
        <w:pStyle w:val="ListBullet"/>
      </w:pPr>
      <w:r>
        <w:t>Use physical verification or other enhanced due diligence for higher-risk manufacturers.</w:t>
      </w:r>
    </w:p>
    <w:p>
      <w:pPr>
        <w:pStyle w:val="ListBullet"/>
      </w:pPr>
      <w:r>
        <w:t>Maintain manufacturer status, verification date, documents and review history.</w:t>
      </w:r>
    </w:p>
    <w:p>
      <w:pPr>
        <w:pStyle w:val="Heading2"/>
      </w:pPr>
      <w:r>
        <w:t>8.2 Subscription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Core Features</w:t>
            </w:r>
          </w:p>
        </w:tc>
      </w:tr>
      <w:tr>
        <w:tc>
          <w:tcPr>
            <w:tcW w:type="dxa" w:w="5040"/>
            <w:vAlign w:val="top"/>
          </w:tcPr>
          <w:p>
            <w:r>
              <w:t>Free</w:t>
            </w:r>
          </w:p>
        </w:tc>
        <w:tc>
          <w:tcPr>
            <w:tcW w:type="dxa" w:w="5040"/>
            <w:vAlign w:val="top"/>
          </w:tcPr>
          <w:p>
            <w:r>
              <w:t>Registration, basic product listing and pricing.</w:t>
            </w:r>
          </w:p>
        </w:tc>
      </w:tr>
      <w:tr>
        <w:tc>
          <w:tcPr>
            <w:tcW w:type="dxa" w:w="5040"/>
            <w:vAlign w:val="top"/>
          </w:tcPr>
          <w:p>
            <w:r>
              <w:t>Basic</w:t>
            </w:r>
          </w:p>
        </w:tc>
        <w:tc>
          <w:tcPr>
            <w:tcW w:type="dxa" w:w="5040"/>
            <w:vAlign w:val="top"/>
          </w:tcPr>
          <w:p>
            <w:r>
              <w:t>Visibility to hardware shops and product-view information.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Premium</w:t>
            </w:r>
          </w:p>
        </w:tc>
        <w:tc>
          <w:tcPr>
            <w:tcW w:type="dxa" w:w="5040"/>
            <w:vAlign w:val="top"/>
          </w:tcPr>
          <w:p>
            <w:r>
              <w:t>Regional targeting, market insights and boosted search visibility.</w:t>
            </w:r>
          </w:p>
        </w:tc>
      </w:tr>
      <w:tr>
        <w:tc>
          <w:tcPr>
            <w:tcW w:type="dxa" w:w="5040"/>
            <w:vAlign w:val="top"/>
          </w:tcPr>
          <w:p>
            <w:r>
              <w:t>VIP / Dedicated</w:t>
            </w:r>
          </w:p>
        </w:tc>
        <w:tc>
          <w:tcPr>
            <w:tcW w:type="dxa" w:w="5040"/>
            <w:vAlign w:val="top"/>
          </w:tcPr>
          <w:p>
            <w:r>
              <w:t>Dedicated Buildex account management and active sales support to the hardware network.</w:t>
            </w:r>
          </w:p>
        </w:tc>
      </w:tr>
    </w:tbl>
    <w:p>
      <w:pPr>
        <w:pStyle w:val="Heading2"/>
      </w:pPr>
      <w:r>
        <w:t>8.3 Regional Targeting</w:t>
      </w:r>
    </w:p>
    <w:p>
      <w:pPr>
        <w:pStyle w:val="ListBullet"/>
      </w:pPr>
      <w:r>
        <w:t>Allow manufacturers to target specific regions such as Kakamega or Kisumu.</w:t>
      </w:r>
    </w:p>
    <w:p>
      <w:pPr>
        <w:pStyle w:val="ListBullet"/>
      </w:pPr>
      <w:r>
        <w:t>Price regional visibility based on relevant hardware coverage, expected turnover and commercial demand.</w:t>
      </w:r>
    </w:p>
    <w:p>
      <w:pPr>
        <w:pStyle w:val="ListBullet"/>
      </w:pPr>
      <w:r>
        <w:t>Provide measurable campaign metrics: impressions, views, enquiries, orders and estimated conversion.</w:t>
      </w:r>
    </w:p>
    <w:p>
      <w:pPr>
        <w:pStyle w:val="Heading1"/>
      </w:pPr>
      <w:r>
        <w:t>9. Data, Analytics &amp; Consumer Insights</w:t>
      </w:r>
    </w:p>
    <w:p>
      <w:pPr>
        <w:pStyle w:val="ListBullet"/>
      </w:pPr>
      <w:r>
        <w:t>Build a unified transaction data model linking manufacturers, products, hardware shops, inventory, POS sales, payments and consumers.</w:t>
      </w:r>
    </w:p>
    <w:p>
      <w:pPr>
        <w:pStyle w:val="ListBullet"/>
      </w:pPr>
      <w:r>
        <w:t>Use customer purchase patterns to identify related and next-stage construction needs.</w:t>
      </w:r>
    </w:p>
    <w:p>
      <w:pPr>
        <w:pStyle w:val="ListBullet"/>
      </w:pPr>
      <w:r>
        <w:t>Enable compliant, permission-based SMS and digital marketing campaigns that direct consumers to participating hardware shops.</w:t>
      </w:r>
    </w:p>
    <w:p>
      <w:pPr>
        <w:pStyle w:val="ListBullet"/>
      </w:pPr>
      <w:r>
        <w:t>Develop dashboards for hardware performance, manufacturer demand, regional trends, product velocity and credit risk.</w:t>
      </w:r>
    </w:p>
    <w:p>
      <w:pPr>
        <w:pStyle w:val="ListBullet"/>
      </w:pPr>
      <w:r>
        <w:t>Treat customer and transaction data as a governed strategic asset with clear consent, access control, retention and privacy rules.</w:t>
      </w:r>
    </w:p>
    <w:p>
      <w:pPr>
        <w:pStyle w:val="Heading1"/>
      </w:pPr>
      <w:r>
        <w:t>10. Technology Modules to Prioritize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Minimum Capability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Credit Scoring Engine</w:t>
            </w:r>
          </w:p>
        </w:tc>
        <w:tc>
          <w:tcPr>
            <w:tcW w:type="dxa" w:w="3360"/>
            <w:vAlign w:val="top"/>
          </w:tcPr>
          <w:p>
            <w:r>
              <w:t>Eligibility, score, risk grade, recommended limit, tenor and approval workflow.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Loan Tracker</w:t>
            </w:r>
          </w:p>
        </w:tc>
        <w:tc>
          <w:tcPr>
            <w:tcW w:type="dxa" w:w="3360"/>
            <w:vAlign w:val="top"/>
          </w:tcPr>
          <w:p>
            <w:r>
              <w:t>Loan lifecycle, balances, due dates, DPD, NPL, repayments and recovery actions.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Wallet &amp; Payments</w:t>
            </w:r>
          </w:p>
        </w:tc>
        <w:tc>
          <w:tcPr>
            <w:tcW w:type="dxa" w:w="3360"/>
            <w:vAlign w:val="top"/>
          </w:tcPr>
          <w:p>
            <w:r>
              <w:t>Collections, ledger, reconciliation, sweeps/standing instructions and transaction history.</w:t>
            </w:r>
          </w:p>
        </w:tc>
      </w:tr>
      <w:tr>
        <w:tc>
          <w:tcPr>
            <w:tcW w:type="dxa" w:w="3360"/>
            <w:vAlign w:val="top"/>
          </w:tcPr>
          <w:p>
            <w:r>
              <w:t>P0</w:t>
            </w:r>
          </w:p>
        </w:tc>
        <w:tc>
          <w:tcPr>
            <w:tcW w:type="dxa" w:w="3360"/>
            <w:vAlign w:val="top"/>
          </w:tcPr>
          <w:p>
            <w:r>
              <w:t>POS / Transaction Data</w:t>
            </w:r>
          </w:p>
        </w:tc>
        <w:tc>
          <w:tcPr>
            <w:tcW w:type="dxa" w:w="3360"/>
            <w:vAlign w:val="top"/>
          </w:tcPr>
          <w:p>
            <w:r>
              <w:t>Sales, stock movement and turnover measurement.</w:t>
            </w:r>
          </w:p>
        </w:tc>
      </w:tr>
      <w:tr>
        <w:tc>
          <w:tcPr>
            <w:tcW w:type="dxa" w:w="3360"/>
            <w:vAlign w:val="top"/>
          </w:tcPr>
          <w:p>
            <w:r>
              <w:t>P1</w:t>
            </w:r>
          </w:p>
        </w:tc>
        <w:tc>
          <w:tcPr>
            <w:tcW w:type="dxa" w:w="3360"/>
            <w:vAlign w:val="top"/>
          </w:tcPr>
          <w:p>
            <w:r>
              <w:t>Hardware Portal</w:t>
            </w:r>
          </w:p>
        </w:tc>
        <w:tc>
          <w:tcPr>
            <w:tcW w:type="dxa" w:w="3360"/>
            <w:vAlign w:val="top"/>
          </w:tcPr>
          <w:p>
            <w:r>
              <w:t>Credit status, orders, wallet, repayments, statements and inventory.</w:t>
            </w:r>
          </w:p>
        </w:tc>
      </w:tr>
      <w:tr>
        <w:tc>
          <w:tcPr>
            <w:tcW w:type="dxa" w:w="3360"/>
            <w:vAlign w:val="top"/>
          </w:tcPr>
          <w:p>
            <w:r>
              <w:t>P1</w:t>
            </w:r>
          </w:p>
        </w:tc>
        <w:tc>
          <w:tcPr>
            <w:tcW w:type="dxa" w:w="3360"/>
            <w:vAlign w:val="top"/>
          </w:tcPr>
          <w:p>
            <w:r>
              <w:t>Manufacturer Portal</w:t>
            </w:r>
          </w:p>
        </w:tc>
        <w:tc>
          <w:tcPr>
            <w:tcW w:type="dxa" w:w="3360"/>
            <w:vAlign w:val="top"/>
          </w:tcPr>
          <w:p>
            <w:r>
              <w:t>Onboarding, verification, catalogue, subscriptions and analytics.</w:t>
            </w:r>
          </w:p>
        </w:tc>
      </w:tr>
      <w:tr>
        <w:tc>
          <w:tcPr>
            <w:tcW w:type="dxa" w:w="3360"/>
            <w:vAlign w:val="top"/>
          </w:tcPr>
          <w:p>
            <w:r>
              <w:t>P1</w:t>
            </w:r>
          </w:p>
        </w:tc>
        <w:tc>
          <w:tcPr>
            <w:tcW w:type="dxa" w:w="3360"/>
            <w:vAlign w:val="top"/>
          </w:tcPr>
          <w:p>
            <w:r>
              <w:t>Admin / Risk Dashboard</w:t>
            </w:r>
          </w:p>
        </w:tc>
        <w:tc>
          <w:tcPr>
            <w:tcW w:type="dxa" w:w="3360"/>
            <w:vAlign w:val="top"/>
          </w:tcPr>
          <w:p>
            <w:r>
              <w:t>Portfolio monitoring, approvals, exceptions, alerts and reporting.</w:t>
            </w:r>
          </w:p>
        </w:tc>
      </w:tr>
      <w:tr>
        <w:tc>
          <w:tcPr>
            <w:tcW w:type="dxa" w:w="3360"/>
            <w:vAlign w:val="top"/>
          </w:tcPr>
          <w:p>
            <w:r>
              <w:t>P2</w:t>
            </w:r>
          </w:p>
        </w:tc>
        <w:tc>
          <w:tcPr>
            <w:tcW w:type="dxa" w:w="3360"/>
            <w:vAlign w:val="top"/>
          </w:tcPr>
          <w:p>
            <w:r>
              <w:t>Consumer Intelligence</w:t>
            </w:r>
          </w:p>
        </w:tc>
        <w:tc>
          <w:tcPr>
            <w:tcW w:type="dxa" w:w="3360"/>
            <w:vAlign w:val="top"/>
          </w:tcPr>
          <w:p>
            <w:r>
              <w:t>Segmentation, recommendations and compliant campaign tools.</w:t>
            </w:r>
          </w:p>
        </w:tc>
      </w:tr>
    </w:tbl>
    <w:p>
      <w:pPr>
        <w:pStyle w:val="Heading1"/>
      </w:pPr>
      <w:r>
        <w:t>11. Data Required Immediately</w:t>
      </w:r>
    </w:p>
    <w:p>
      <w:pPr>
        <w:pStyle w:val="ListBullet"/>
      </w:pPr>
      <w:r>
        <w:t>Current hardware shop stock flow and movement records.</w:t>
      </w:r>
    </w:p>
    <w:p>
      <w:pPr>
        <w:pStyle w:val="ListBullet"/>
      </w:pPr>
      <w:r>
        <w:t>Historical sales/turnover data.</w:t>
      </w:r>
    </w:p>
    <w:p>
      <w:pPr>
        <w:pStyle w:val="ListBullet"/>
      </w:pPr>
      <w:r>
        <w:t>M-Pesa/payment transaction records and, where appropriately authorized, bank statements.</w:t>
      </w:r>
    </w:p>
    <w:p>
      <w:pPr>
        <w:pStyle w:val="ListBullet"/>
      </w:pPr>
      <w:r>
        <w:t>Customer transaction patterns and product-level sales data.</w:t>
      </w:r>
    </w:p>
    <w:p>
      <w:pPr>
        <w:pStyle w:val="ListBullet"/>
      </w:pPr>
      <w:r>
        <w:t>Existing credit/repayment information.</w:t>
      </w:r>
    </w:p>
    <w:p>
      <w:pPr>
        <w:pStyle w:val="ListBullet"/>
      </w:pPr>
      <w:r>
        <w:t>Business registration and owner identity information required for onboarding and verification.</w:t>
      </w:r>
    </w:p>
    <w:p>
      <w:pPr>
        <w:pStyle w:val="ListBullet"/>
      </w:pPr>
      <w:r>
        <w:t>Product catalogue, supplier information, purchase prices and selling prices.</w:t>
      </w:r>
    </w:p>
    <w:p>
      <w:pPr>
        <w:pStyle w:val="ListBullet"/>
      </w:pPr>
      <w:r>
        <w:t>Historical defaults, arrears, recovery and write-off information if available.</w:t>
      </w:r>
    </w:p>
    <w:p>
      <w:pPr>
        <w:pStyle w:val="Heading1"/>
      </w:pPr>
      <w:r>
        <w:t>12. Project Roadmap &amp;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Key Actions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Primary Owner</w:t>
            </w:r>
          </w:p>
        </w:tc>
      </w:tr>
      <w:tr>
        <w:tc>
          <w:tcPr>
            <w:tcW w:type="dxa" w:w="2520"/>
            <w:vAlign w:val="top"/>
          </w:tcPr>
          <w:p>
            <w:r>
              <w:t>Phase 1 — Governance</w:t>
            </w:r>
          </w:p>
        </w:tc>
        <w:tc>
          <w:tcPr>
            <w:tcW w:type="dxa" w:w="2520"/>
            <w:vAlign w:val="top"/>
          </w:tcPr>
          <w:p>
            <w:r>
              <w:t>Weeks 1–2</w:t>
            </w:r>
          </w:p>
        </w:tc>
        <w:tc>
          <w:tcPr>
            <w:tcW w:type="dxa" w:w="2520"/>
            <w:vAlign w:val="top"/>
          </w:tcPr>
          <w:p>
            <w:r>
              <w:t>Appoint credit-policy expert; obtain legal/compliance review; define lending policy and risk appetite.</w:t>
            </w:r>
          </w:p>
        </w:tc>
        <w:tc>
          <w:tcPr>
            <w:tcW w:type="dxa" w:w="2520"/>
            <w:vAlign w:val="top"/>
          </w:tcPr>
          <w:p>
            <w:r>
              <w:t>Group / Management</w:t>
            </w:r>
          </w:p>
        </w:tc>
      </w:tr>
      <w:tr>
        <w:tc>
          <w:tcPr>
            <w:tcW w:type="dxa" w:w="2520"/>
            <w:vAlign w:val="top"/>
          </w:tcPr>
          <w:p>
            <w:r>
              <w:t>Phase 2 — Data Foundation</w:t>
            </w:r>
          </w:p>
        </w:tc>
        <w:tc>
          <w:tcPr>
            <w:tcW w:type="dxa" w:w="2520"/>
            <w:vAlign w:val="top"/>
          </w:tcPr>
          <w:p>
            <w:r>
              <w:t>Weeks 1–4</w:t>
            </w:r>
          </w:p>
        </w:tc>
        <w:tc>
          <w:tcPr>
            <w:tcW w:type="dxa" w:w="2520"/>
            <w:vAlign w:val="top"/>
          </w:tcPr>
          <w:p>
            <w:r>
              <w:t>Collect stock, POS, sales, payment and customer data; define data model and quality rules.</w:t>
            </w:r>
          </w:p>
        </w:tc>
        <w:tc>
          <w:tcPr>
            <w:tcW w:type="dxa" w:w="2520"/>
            <w:vAlign w:val="top"/>
          </w:tcPr>
          <w:p>
            <w:r>
              <w:t>Data / Product Team</w:t>
            </w:r>
          </w:p>
        </w:tc>
      </w:tr>
      <w:tr>
        <w:tc>
          <w:tcPr>
            <w:tcW w:type="dxa" w:w="2520"/>
            <w:vAlign w:val="top"/>
          </w:tcPr>
          <w:p>
            <w:r>
              <w:t>Phase 3 — Payment Foundation</w:t>
            </w:r>
          </w:p>
        </w:tc>
        <w:tc>
          <w:tcPr>
            <w:tcW w:type="dxa" w:w="2520"/>
            <w:vAlign w:val="top"/>
          </w:tcPr>
          <w:p>
            <w:r>
              <w:t>Weeks 2–6</w:t>
            </w:r>
          </w:p>
        </w:tc>
        <w:tc>
          <w:tcPr>
            <w:tcW w:type="dxa" w:w="2520"/>
            <w:vAlign w:val="top"/>
          </w:tcPr>
          <w:p>
            <w:r>
              <w:t>Select payment channels; implement wallet ledger, M-Pesa integration and reconciliation design.</w:t>
            </w:r>
          </w:p>
        </w:tc>
        <w:tc>
          <w:tcPr>
            <w:tcW w:type="dxa" w:w="2520"/>
            <w:vAlign w:val="top"/>
          </w:tcPr>
          <w:p>
            <w:r>
              <w:t>Technical Team</w:t>
            </w:r>
          </w:p>
        </w:tc>
      </w:tr>
      <w:tr>
        <w:tc>
          <w:tcPr>
            <w:tcW w:type="dxa" w:w="2520"/>
            <w:vAlign w:val="top"/>
          </w:tcPr>
          <w:p>
            <w:r>
              <w:t>Phase 4 — Credit MVP</w:t>
            </w:r>
          </w:p>
        </w:tc>
        <w:tc>
          <w:tcPr>
            <w:tcW w:type="dxa" w:w="2520"/>
            <w:vAlign w:val="top"/>
          </w:tcPr>
          <w:p>
            <w:r>
              <w:t>Weeks 3–8</w:t>
            </w:r>
          </w:p>
        </w:tc>
        <w:tc>
          <w:tcPr>
            <w:tcW w:type="dxa" w:w="2520"/>
            <w:vAlign w:val="top"/>
          </w:tcPr>
          <w:p>
            <w:r>
              <w:t>Build scoring engine, qualification rules, credit-limit calculation and approval workflow.</w:t>
            </w:r>
          </w:p>
        </w:tc>
        <w:tc>
          <w:tcPr>
            <w:tcW w:type="dxa" w:w="2520"/>
            <w:vAlign w:val="top"/>
          </w:tcPr>
          <w:p>
            <w:r>
              <w:t>Technical / Risk</w:t>
            </w:r>
          </w:p>
        </w:tc>
      </w:tr>
      <w:tr>
        <w:tc>
          <w:tcPr>
            <w:tcW w:type="dxa" w:w="2520"/>
            <w:vAlign w:val="top"/>
          </w:tcPr>
          <w:p>
            <w:r>
              <w:t>Phase 5 — Loan Operations</w:t>
            </w:r>
          </w:p>
        </w:tc>
        <w:tc>
          <w:tcPr>
            <w:tcW w:type="dxa" w:w="2520"/>
            <w:vAlign w:val="top"/>
          </w:tcPr>
          <w:p>
            <w:r>
              <w:t>Weeks 4–8</w:t>
            </w:r>
          </w:p>
        </w:tc>
        <w:tc>
          <w:tcPr>
            <w:tcW w:type="dxa" w:w="2520"/>
            <w:vAlign w:val="top"/>
          </w:tcPr>
          <w:p>
            <w:r>
              <w:t>Build loan tracker, repayment schedules, DPD/NPL tracking and recovery workflow.</w:t>
            </w:r>
          </w:p>
        </w:tc>
        <w:tc>
          <w:tcPr>
            <w:tcW w:type="dxa" w:w="2520"/>
            <w:vAlign w:val="top"/>
          </w:tcPr>
          <w:p>
            <w:r>
              <w:t>Technical / Risk</w:t>
            </w:r>
          </w:p>
        </w:tc>
      </w:tr>
      <w:tr>
        <w:tc>
          <w:tcPr>
            <w:tcW w:type="dxa" w:w="2520"/>
            <w:vAlign w:val="top"/>
          </w:tcPr>
          <w:p>
            <w:r>
              <w:t>Phase 6 — Controlled Pilot</w:t>
            </w:r>
          </w:p>
        </w:tc>
        <w:tc>
          <w:tcPr>
            <w:tcW w:type="dxa" w:w="2520"/>
            <w:vAlign w:val="top"/>
          </w:tcPr>
          <w:p>
            <w:r>
              <w:t>Weeks 8–12</w:t>
            </w:r>
          </w:p>
        </w:tc>
        <w:tc>
          <w:tcPr>
            <w:tcW w:type="dxa" w:w="2520"/>
            <w:vAlign w:val="top"/>
          </w:tcPr>
          <w:p>
            <w:r>
              <w:t>Select a small group of qualified hardware shops; issue controlled initial limits and monitor repayment.</w:t>
            </w:r>
          </w:p>
        </w:tc>
        <w:tc>
          <w:tcPr>
            <w:tcW w:type="dxa" w:w="2520"/>
            <w:vAlign w:val="top"/>
          </w:tcPr>
          <w:p>
            <w:r>
              <w:t>Management / Risk</w:t>
            </w:r>
          </w:p>
        </w:tc>
      </w:tr>
      <w:tr>
        <w:tc>
          <w:tcPr>
            <w:tcW w:type="dxa" w:w="2520"/>
            <w:vAlign w:val="top"/>
          </w:tcPr>
          <w:p>
            <w:r>
              <w:t>Phase 7 — Marketplace MVP</w:t>
            </w:r>
          </w:p>
        </w:tc>
        <w:tc>
          <w:tcPr>
            <w:tcW w:type="dxa" w:w="2520"/>
            <w:vAlign w:val="top"/>
          </w:tcPr>
          <w:p>
            <w:r>
              <w:t>Weeks 4–10</w:t>
            </w:r>
          </w:p>
        </w:tc>
        <w:tc>
          <w:tcPr>
            <w:tcW w:type="dxa" w:w="2520"/>
            <w:vAlign w:val="top"/>
          </w:tcPr>
          <w:p>
            <w:r>
              <w:t>Launch manufacturer onboarding, catalogue, subscriptions and regional visibility.</w:t>
            </w:r>
          </w:p>
        </w:tc>
        <w:tc>
          <w:tcPr>
            <w:tcW w:type="dxa" w:w="2520"/>
            <w:vAlign w:val="top"/>
          </w:tcPr>
          <w:p>
            <w:r>
              <w:t>Connect Team</w:t>
            </w:r>
          </w:p>
        </w:tc>
      </w:tr>
      <w:tr>
        <w:tc>
          <w:tcPr>
            <w:tcW w:type="dxa" w:w="2520"/>
            <w:vAlign w:val="top"/>
          </w:tcPr>
          <w:p>
            <w:r>
              <w:t>Phase 8 — Review &amp; Scale</w:t>
            </w:r>
          </w:p>
        </w:tc>
        <w:tc>
          <w:tcPr>
            <w:tcW w:type="dxa" w:w="2520"/>
            <w:vAlign w:val="top"/>
          </w:tcPr>
          <w:p>
            <w:r>
              <w:t>After pilot</w:t>
            </w:r>
          </w:p>
        </w:tc>
        <w:tc>
          <w:tcPr>
            <w:tcW w:type="dxa" w:w="2520"/>
            <w:vAlign w:val="top"/>
          </w:tcPr>
          <w:p>
            <w:r>
              <w:t>Measure default rate, repayment rate, utilization, ROI and operational performance; revise policies before scaling.</w:t>
            </w:r>
          </w:p>
        </w:tc>
        <w:tc>
          <w:tcPr>
            <w:tcW w:type="dxa" w:w="2520"/>
            <w:vAlign w:val="top"/>
          </w:tcPr>
          <w:p>
            <w:r>
              <w:t>Management / Risk</w:t>
            </w:r>
          </w:p>
        </w:tc>
      </w:tr>
    </w:tbl>
    <w:p>
      <w:pPr>
        <w:pStyle w:val="Heading1"/>
      </w:pPr>
      <w:r>
        <w:t>13. Immediate 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520"/>
            <w:vAlign w:val="top"/>
          </w:tcPr>
          <w:p>
            <w:r>
              <w:t>Define lending criteria for hardware partners</w:t>
            </w:r>
          </w:p>
        </w:tc>
        <w:tc>
          <w:tcPr>
            <w:tcW w:type="dxa" w:w="2520"/>
            <w:vAlign w:val="top"/>
          </w:tcPr>
          <w:p>
            <w:r>
              <w:t>The Group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Approved eligibility criteria</w:t>
            </w:r>
          </w:p>
        </w:tc>
      </w:tr>
      <w:tr>
        <w:tc>
          <w:tcPr>
            <w:tcW w:type="dxa" w:w="2520"/>
            <w:vAlign w:val="top"/>
          </w:tcPr>
          <w:p>
            <w:r>
              <w:t>Define individual borrower criteria</w:t>
            </w:r>
          </w:p>
        </w:tc>
        <w:tc>
          <w:tcPr>
            <w:tcW w:type="dxa" w:w="2520"/>
            <w:vAlign w:val="top"/>
          </w:tcPr>
          <w:p>
            <w:r>
              <w:t>The Group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Borrower qualification framework</w:t>
            </w:r>
          </w:p>
        </w:tc>
      </w:tr>
      <w:tr>
        <w:tc>
          <w:tcPr>
            <w:tcW w:type="dxa" w:w="2520"/>
            <w:vAlign w:val="top"/>
          </w:tcPr>
          <w:p>
            <w:r>
              <w:t>Draft formal lending and recovery policies</w:t>
            </w:r>
          </w:p>
        </w:tc>
        <w:tc>
          <w:tcPr>
            <w:tcW w:type="dxa" w:w="2520"/>
            <w:vAlign w:val="top"/>
          </w:tcPr>
          <w:p>
            <w:r>
              <w:t>Credit/Risk Professional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Credit policy and recovery manual</w:t>
            </w:r>
          </w:p>
        </w:tc>
      </w:tr>
      <w:tr>
        <w:tc>
          <w:tcPr>
            <w:tcW w:type="dxa" w:w="2520"/>
            <w:vAlign w:val="top"/>
          </w:tcPr>
          <w:p>
            <w:r>
              <w:t>Confirm regulatory and legal requirements</w:t>
            </w:r>
          </w:p>
        </w:tc>
        <w:tc>
          <w:tcPr>
            <w:tcW w:type="dxa" w:w="2520"/>
            <w:vAlign w:val="top"/>
          </w:tcPr>
          <w:p>
            <w:r>
              <w:t>Legal/Compliance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Written regulatory assessment</w:t>
            </w:r>
          </w:p>
        </w:tc>
      </w:tr>
      <w:tr>
        <w:tc>
          <w:tcPr>
            <w:tcW w:type="dxa" w:w="2520"/>
            <w:vAlign w:val="top"/>
          </w:tcPr>
          <w:p>
            <w:r>
              <w:t>Pre-qualify pilot businesses and recommend limits</w:t>
            </w:r>
          </w:p>
        </w:tc>
        <w:tc>
          <w:tcPr>
            <w:tcW w:type="dxa" w:w="2520"/>
            <w:vAlign w:val="top"/>
          </w:tcPr>
          <w:p>
            <w:r>
              <w:t>John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Pilot borrower list and proposed limits</w:t>
            </w:r>
          </w:p>
        </w:tc>
      </w:tr>
      <w:tr>
        <w:tc>
          <w:tcPr>
            <w:tcW w:type="dxa" w:w="2520"/>
            <w:vAlign w:val="top"/>
          </w:tcPr>
          <w:p>
            <w:r>
              <w:t>Provide current stock-flow and movement data</w:t>
            </w:r>
          </w:p>
        </w:tc>
        <w:tc>
          <w:tcPr>
            <w:tcW w:type="dxa" w:w="2520"/>
            <w:vAlign w:val="top"/>
          </w:tcPr>
          <w:p>
            <w:r>
              <w:t>Unassigned / Operations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Clean stock and movement dataset</w:t>
            </w:r>
          </w:p>
        </w:tc>
      </w:tr>
      <w:tr>
        <w:tc>
          <w:tcPr>
            <w:tcW w:type="dxa" w:w="2520"/>
            <w:vAlign w:val="top"/>
          </w:tcPr>
          <w:p>
            <w:r>
              <w:t>Select payment channels</w:t>
            </w:r>
          </w:p>
        </w:tc>
        <w:tc>
          <w:tcPr>
            <w:tcW w:type="dxa" w:w="2520"/>
            <w:vAlign w:val="top"/>
          </w:tcPr>
          <w:p>
            <w:r>
              <w:t>The Group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Payment-channel decision</w:t>
            </w:r>
          </w:p>
        </w:tc>
      </w:tr>
      <w:tr>
        <w:tc>
          <w:tcPr>
            <w:tcW w:type="dxa" w:w="2520"/>
            <w:vAlign w:val="top"/>
          </w:tcPr>
          <w:p>
            <w:r>
              <w:t>Design wallet and collection process</w:t>
            </w:r>
          </w:p>
        </w:tc>
        <w:tc>
          <w:tcPr>
            <w:tcW w:type="dxa" w:w="2520"/>
            <w:vAlign w:val="top"/>
          </w:tcPr>
          <w:p>
            <w:r>
              <w:t>Product/Technical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Wallet and collections specification</w:t>
            </w:r>
          </w:p>
        </w:tc>
      </w:tr>
      <w:tr>
        <w:tc>
          <w:tcPr>
            <w:tcW w:type="dxa" w:w="2520"/>
            <w:vAlign w:val="top"/>
          </w:tcPr>
          <w:p>
            <w:r>
              <w:t>Integrate M-Pesa/payment data</w:t>
            </w:r>
          </w:p>
        </w:tc>
        <w:tc>
          <w:tcPr>
            <w:tcW w:type="dxa" w:w="2520"/>
            <w:vAlign w:val="top"/>
          </w:tcPr>
          <w:p>
            <w:r>
              <w:t>Technical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Working transaction pipeline</w:t>
            </w:r>
          </w:p>
        </w:tc>
      </w:tr>
      <w:tr>
        <w:tc>
          <w:tcPr>
            <w:tcW w:type="dxa" w:w="2520"/>
            <w:vAlign w:val="top"/>
          </w:tcPr>
          <w:p>
            <w:r>
              <w:t>Build credit-scoring MVP</w:t>
            </w:r>
          </w:p>
        </w:tc>
        <w:tc>
          <w:tcPr>
            <w:tcW w:type="dxa" w:w="2520"/>
            <w:vAlign w:val="top"/>
          </w:tcPr>
          <w:p>
            <w:r>
              <w:t>Technical/Data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Scoring and limit engine</w:t>
            </w:r>
          </w:p>
        </w:tc>
      </w:tr>
      <w:tr>
        <w:tc>
          <w:tcPr>
            <w:tcW w:type="dxa" w:w="2520"/>
            <w:vAlign w:val="top"/>
          </w:tcPr>
          <w:p>
            <w:r>
              <w:t>Build loan tracker</w:t>
            </w:r>
          </w:p>
        </w:tc>
        <w:tc>
          <w:tcPr>
            <w:tcW w:type="dxa" w:w="2520"/>
            <w:vAlign w:val="top"/>
          </w:tcPr>
          <w:p>
            <w:r>
              <w:t>Technical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Loan lifecycle and portfolio dashboard</w:t>
            </w:r>
          </w:p>
        </w:tc>
      </w:tr>
      <w:tr>
        <w:tc>
          <w:tcPr>
            <w:tcW w:type="dxa" w:w="2520"/>
            <w:vAlign w:val="top"/>
          </w:tcPr>
          <w:p>
            <w:r>
              <w:t>Build manufacturer portal</w:t>
            </w:r>
          </w:p>
        </w:tc>
        <w:tc>
          <w:tcPr>
            <w:tcW w:type="dxa" w:w="2520"/>
            <w:vAlign w:val="top"/>
          </w:tcPr>
          <w:p>
            <w:r>
              <w:t>Connect/Technical</w:t>
            </w:r>
          </w:p>
        </w:tc>
        <w:tc>
          <w:tcPr>
            <w:tcW w:type="dxa" w:w="2520"/>
            <w:vAlign w:val="top"/>
          </w:tcPr>
          <w:p>
            <w:r>
              <w:t>P1</w:t>
            </w:r>
          </w:p>
        </w:tc>
        <w:tc>
          <w:tcPr>
            <w:tcW w:type="dxa" w:w="2520"/>
            <w:vAlign w:val="top"/>
          </w:tcPr>
          <w:p>
            <w:r>
              <w:t>Marketplace MVP</w:t>
            </w:r>
          </w:p>
        </w:tc>
      </w:tr>
      <w:tr>
        <w:tc>
          <w:tcPr>
            <w:tcW w:type="dxa" w:w="2520"/>
            <w:vAlign w:val="top"/>
          </w:tcPr>
          <w:p>
            <w:r>
              <w:t>Define manufacturer packages and pricing</w:t>
            </w:r>
          </w:p>
        </w:tc>
        <w:tc>
          <w:tcPr>
            <w:tcW w:type="dxa" w:w="2520"/>
            <w:vAlign w:val="top"/>
          </w:tcPr>
          <w:p>
            <w:r>
              <w:t>Management/Commercial</w:t>
            </w:r>
          </w:p>
        </w:tc>
        <w:tc>
          <w:tcPr>
            <w:tcW w:type="dxa" w:w="2520"/>
            <w:vAlign w:val="top"/>
          </w:tcPr>
          <w:p>
            <w:r>
              <w:t>P1</w:t>
            </w:r>
          </w:p>
        </w:tc>
        <w:tc>
          <w:tcPr>
            <w:tcW w:type="dxa" w:w="2520"/>
            <w:vAlign w:val="top"/>
          </w:tcPr>
          <w:p>
            <w:r>
              <w:t>Approved commercial model</w:t>
            </w:r>
          </w:p>
        </w:tc>
      </w:tr>
      <w:tr>
        <w:tc>
          <w:tcPr>
            <w:tcW w:type="dxa" w:w="2520"/>
            <w:vAlign w:val="top"/>
          </w:tcPr>
          <w:p>
            <w:r>
              <w:t>Analyze hardware cash-management behaviour</w:t>
            </w:r>
          </w:p>
        </w:tc>
        <w:tc>
          <w:tcPr>
            <w:tcW w:type="dxa" w:w="2520"/>
            <w:vAlign w:val="top"/>
          </w:tcPr>
          <w:p>
            <w:r>
              <w:t>Data/Finance</w:t>
            </w:r>
          </w:p>
        </w:tc>
        <w:tc>
          <w:tcPr>
            <w:tcW w:type="dxa" w:w="2520"/>
            <w:vAlign w:val="top"/>
          </w:tcPr>
          <w:p>
            <w:r>
              <w:t>P1</w:t>
            </w:r>
          </w:p>
        </w:tc>
        <w:tc>
          <w:tcPr>
            <w:tcW w:type="dxa" w:w="2520"/>
            <w:vAlign w:val="top"/>
          </w:tcPr>
          <w:p>
            <w:r>
              <w:t>Cash-cycle analysis</w:t>
            </w:r>
          </w:p>
        </w:tc>
      </w:tr>
    </w:tbl>
    <w:p>
      <w:pPr>
        <w:pStyle w:val="Heading1"/>
      </w:pPr>
      <w:r>
        <w:t>14. Credit Scoring MVP — Recommended Model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Feature Group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40"/>
            <w:vAlign w:val="top"/>
          </w:tcPr>
          <w:p>
            <w:r>
              <w:t>Platform Activity</w:t>
            </w:r>
          </w:p>
        </w:tc>
        <w:tc>
          <w:tcPr>
            <w:tcW w:type="dxa" w:w="5040"/>
            <w:vAlign w:val="top"/>
          </w:tcPr>
          <w:p>
            <w:r>
              <w:t>Membership duration, active days, order frequency, Buildex transaction share</w:t>
            </w:r>
          </w:p>
        </w:tc>
      </w:tr>
      <w:tr>
        <w:tc>
          <w:tcPr>
            <w:tcW w:type="dxa" w:w="5040"/>
            <w:vAlign w:val="top"/>
          </w:tcPr>
          <w:p>
            <w:r>
              <w:t>Turnover</w:t>
            </w:r>
          </w:p>
        </w:tc>
        <w:tc>
          <w:tcPr>
            <w:tcW w:type="dxa" w:w="5040"/>
            <w:vAlign w:val="top"/>
          </w:tcPr>
          <w:p>
            <w:r>
              <w:t>Daily/weekly/monthly sales, consistency, seasonality, growth</w:t>
            </w:r>
          </w:p>
        </w:tc>
      </w:tr>
      <w:tr>
        <w:tc>
          <w:tcPr>
            <w:tcW w:type="dxa" w:w="5040"/>
            <w:vAlign w:val="top"/>
          </w:tcPr>
          <w:p>
            <w:r>
              <w:t>Stock</w:t>
            </w:r>
          </w:p>
        </w:tc>
        <w:tc>
          <w:tcPr>
            <w:tcW w:type="dxa" w:w="5040"/>
            <w:vAlign w:val="top"/>
          </w:tcPr>
          <w:p>
            <w:r>
              <w:t>Stock velocity, days inventory, replenishment frequency, slow-moving stock</w:t>
            </w:r>
          </w:p>
        </w:tc>
      </w:tr>
      <w:tr>
        <w:tc>
          <w:tcPr>
            <w:tcW w:type="dxa" w:w="5040"/>
            <w:vAlign w:val="top"/>
          </w:tcPr>
          <w:p>
            <w:r>
              <w:t>Cash Flow</w:t>
            </w:r>
          </w:p>
        </w:tc>
        <w:tc>
          <w:tcPr>
            <w:tcW w:type="dxa" w:w="5040"/>
            <w:vAlign w:val="top"/>
          </w:tcPr>
          <w:p>
            <w:r>
              <w:t>Collections, wallet inflows, cash conversion cycle, payment concentration</w:t>
            </w:r>
          </w:p>
        </w:tc>
      </w:tr>
      <w:tr>
        <w:tc>
          <w:tcPr>
            <w:tcW w:type="dxa" w:w="5040"/>
            <w:vAlign w:val="top"/>
          </w:tcPr>
          <w:p>
            <w:r>
              <w:t>Credit Behaviour</w:t>
            </w:r>
          </w:p>
        </w:tc>
        <w:tc>
          <w:tcPr>
            <w:tcW w:type="dxa" w:w="5040"/>
            <w:vAlign w:val="top"/>
          </w:tcPr>
          <w:p>
            <w:r>
              <w:t>Previous facilities, utilization, repayment timeliness, DPD</w:t>
            </w:r>
          </w:p>
        </w:tc>
      </w:tr>
      <w:tr>
        <w:tc>
          <w:tcPr>
            <w:tcW w:type="dxa" w:w="5040"/>
            <w:vAlign w:val="top"/>
          </w:tcPr>
          <w:p>
            <w:r>
              <w:t>External Risk</w:t>
            </w:r>
          </w:p>
        </w:tc>
        <w:tc>
          <w:tcPr>
            <w:tcW w:type="dxa" w:w="5040"/>
            <w:vAlign w:val="top"/>
          </w:tcPr>
          <w:p>
            <w:r>
              <w:t>CRB information and permitted third-party risk data</w:t>
            </w:r>
          </w:p>
        </w:tc>
      </w:tr>
      <w:tr>
        <w:tc>
          <w:tcPr>
            <w:tcW w:type="dxa" w:w="5040"/>
            <w:vAlign w:val="top"/>
          </w:tcPr>
          <w:p>
            <w:r>
              <w:t>Business Profile</w:t>
            </w:r>
          </w:p>
        </w:tc>
        <w:tc>
          <w:tcPr>
            <w:tcW w:type="dxa" w:w="5040"/>
            <w:vAlign w:val="top"/>
          </w:tcPr>
          <w:p>
            <w:r>
              <w:t>Business age, location, customer segment, product mix</w:t>
            </w:r>
          </w:p>
        </w:tc>
      </w:tr>
      <w:tr>
        <w:tc>
          <w:tcPr>
            <w:tcW w:type="dxa" w:w="5040"/>
            <w:vAlign w:val="top"/>
          </w:tcPr>
          <w:p>
            <w:r>
              <w:t>Fraud / Anomaly</w:t>
            </w:r>
          </w:p>
        </w:tc>
        <w:tc>
          <w:tcPr>
            <w:tcW w:type="dxa" w:w="5040"/>
            <w:vAlign w:val="top"/>
          </w:tcPr>
          <w:p>
            <w:r>
              <w:t>Transaction reversals, unusual spikes, identity inconsistencies, suspicious behaviour</w:t>
            </w:r>
          </w:p>
        </w:tc>
      </w:tr>
    </w:tbl>
    <w:p>
      <w:pPr>
        <w:pStyle w:val="Heading1"/>
      </w:pPr>
      <w:r>
        <w:t>15. Pilot Success Metrics</w:t>
      </w:r>
    </w:p>
    <w:p>
      <w:pPr>
        <w:pStyle w:val="ListBullet"/>
      </w:pPr>
      <w:r>
        <w:t>Repayment rate and on-time repayment rate.</w:t>
      </w:r>
    </w:p>
    <w:p>
      <w:pPr>
        <w:pStyle w:val="ListBullet"/>
      </w:pPr>
      <w:r>
        <w:t>30+ day delinquency and NPL rate.</w:t>
      </w:r>
    </w:p>
    <w:p>
      <w:pPr>
        <w:pStyle w:val="ListBullet"/>
      </w:pPr>
      <w:r>
        <w:t>Average Days Past Due.</w:t>
      </w:r>
    </w:p>
    <w:p>
      <w:pPr>
        <w:pStyle w:val="ListBullet"/>
      </w:pPr>
      <w:r>
        <w:t>Credit utilization and repeat borrowing rate.</w:t>
      </w:r>
    </w:p>
    <w:p>
      <w:pPr>
        <w:pStyle w:val="ListBullet"/>
      </w:pPr>
      <w:r>
        <w:t>Loss rate / write-off rate.</w:t>
      </w:r>
    </w:p>
    <w:p>
      <w:pPr>
        <w:pStyle w:val="ListBullet"/>
      </w:pPr>
      <w:r>
        <w:t>Gross margin after credit-related costs and losses.</w:t>
      </w:r>
    </w:p>
    <w:p>
      <w:pPr>
        <w:pStyle w:val="ListBullet"/>
      </w:pPr>
      <w:r>
        <w:t>Cash-conversion improvement for participating hardware shops.</w:t>
      </w:r>
    </w:p>
    <w:p>
      <w:pPr>
        <w:pStyle w:val="ListBullet"/>
      </w:pPr>
      <w:r>
        <w:t>Percentage of hardware turnover processed through Buildex.</w:t>
      </w:r>
    </w:p>
    <w:p>
      <w:pPr>
        <w:pStyle w:val="ListBullet"/>
      </w:pPr>
      <w:r>
        <w:t>POS-to-wallet reconciliation accuracy.</w:t>
      </w:r>
    </w:p>
    <w:p>
      <w:pPr>
        <w:pStyle w:val="ListBullet"/>
      </w:pPr>
      <w:r>
        <w:t>Manufacturer onboarding and marketplace engagement.</w:t>
      </w:r>
    </w:p>
    <w:p>
      <w:pPr>
        <w:pStyle w:val="ListBullet"/>
      </w:pPr>
      <w:r>
        <w:t>Customer acquisition and repeat-purchase performance.</w:t>
      </w:r>
    </w:p>
    <w:p>
      <w:pPr>
        <w:pStyle w:val="Heading1"/>
      </w:pPr>
      <w:r>
        <w:t>16. Capital Plan</w:t>
      </w:r>
    </w:p>
    <w:p>
      <w:r>
        <w:t>The immediate funding objective is KSh 4 million for the pilot. Capital deployment should be controlled through explicit portfolio and operational budgets.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Use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Indicative Planning Principle</w:t>
            </w:r>
          </w:p>
        </w:tc>
      </w:tr>
      <w:tr>
        <w:tc>
          <w:tcPr>
            <w:tcW w:type="dxa" w:w="5040"/>
            <w:vAlign w:val="top"/>
          </w:tcPr>
          <w:p>
            <w:r>
              <w:t>Pilot lending capital</w:t>
            </w:r>
          </w:p>
        </w:tc>
        <w:tc>
          <w:tcPr>
            <w:tcW w:type="dxa" w:w="5040"/>
            <w:vAlign w:val="top"/>
          </w:tcPr>
          <w:p>
            <w:r>
              <w:t>Ring-fence a defined amount for initial facilities.</w:t>
            </w:r>
          </w:p>
        </w:tc>
      </w:tr>
      <w:tr>
        <w:tc>
          <w:tcPr>
            <w:tcW w:type="dxa" w:w="5040"/>
            <w:vAlign w:val="top"/>
          </w:tcPr>
          <w:p>
            <w:r>
              <w:t>Risk reserve</w:t>
            </w:r>
          </w:p>
        </w:tc>
        <w:tc>
          <w:tcPr>
            <w:tcW w:type="dxa" w:w="5040"/>
            <w:vAlign w:val="top"/>
          </w:tcPr>
          <w:p>
            <w:r>
              <w:t>Maintain a management-approved loss buffer before scaling.</w:t>
            </w:r>
          </w:p>
        </w:tc>
      </w:tr>
      <w:tr>
        <w:tc>
          <w:tcPr>
            <w:tcW w:type="dxa" w:w="5040"/>
            <w:vAlign w:val="top"/>
          </w:tcPr>
          <w:p>
            <w:r>
              <w:t>Technology</w:t>
            </w:r>
          </w:p>
        </w:tc>
        <w:tc>
          <w:tcPr>
            <w:tcW w:type="dxa" w:w="5040"/>
            <w:vAlign w:val="top"/>
          </w:tcPr>
          <w:p>
            <w:r>
              <w:t>Prioritize payment, credit, loan tracking and data infrastructure.</w:t>
            </w:r>
          </w:p>
        </w:tc>
      </w:tr>
      <w:tr>
        <w:tc>
          <w:tcPr>
            <w:tcW w:type="dxa" w:w="5040"/>
            <w:vAlign w:val="top"/>
          </w:tcPr>
          <w:p>
            <w:r>
              <w:t>Compliance &amp; professional services</w:t>
            </w:r>
          </w:p>
        </w:tc>
        <w:tc>
          <w:tcPr>
            <w:tcW w:type="dxa" w:w="5040"/>
            <w:vAlign w:val="top"/>
          </w:tcPr>
          <w:p>
            <w:r>
              <w:t>Budget for legal, credit-policy and risk expertise.</w:t>
            </w:r>
          </w:p>
        </w:tc>
      </w:tr>
      <w:tr>
        <w:tc>
          <w:tcPr>
            <w:tcW w:type="dxa" w:w="5040"/>
            <w:vAlign w:val="top"/>
          </w:tcPr>
          <w:p>
            <w:r>
              <w:t>Operations &amp; recovery</w:t>
            </w:r>
          </w:p>
        </w:tc>
        <w:tc>
          <w:tcPr>
            <w:tcW w:type="dxa" w:w="5040"/>
            <w:vAlign w:val="top"/>
          </w:tcPr>
          <w:p>
            <w:r>
              <w:t>Budget for onboarding, verification, collections and support.</w:t>
            </w:r>
          </w:p>
        </w:tc>
      </w:tr>
    </w:tbl>
    <w:p>
      <w:pPr>
        <w:pStyle w:val="Heading1"/>
      </w:pPr>
      <w:r>
        <w:t>17. Key Decisions Required from Management</w:t>
      </w:r>
    </w:p>
    <w:p>
      <w:pPr>
        <w:pStyle w:val="ListNumber"/>
      </w:pPr>
      <w:r>
        <w:t>Approve the six-month data/usage qualification concept for the main credit programme.</w:t>
      </w:r>
    </w:p>
    <w:p>
      <w:pPr>
        <w:pStyle w:val="ListNumber"/>
      </w:pPr>
      <w:r>
        <w:t>Confirm whether the 80% Buildex turnover threshold is a hard requirement, a target or one component of a broader score.</w:t>
      </w:r>
    </w:p>
    <w:p>
      <w:pPr>
        <w:pStyle w:val="ListNumber"/>
      </w:pPr>
      <w:r>
        <w:t>Approve the pilot entry limit and the criteria for increasing limits.</w:t>
      </w:r>
    </w:p>
    <w:p>
      <w:pPr>
        <w:pStyle w:val="ListNumber"/>
      </w:pPr>
      <w:r>
        <w:t>Approve the proposed 5-, 10- and 14-day credit cycles for testing, subject to legal/commercial review.</w:t>
      </w:r>
    </w:p>
    <w:p>
      <w:pPr>
        <w:pStyle w:val="ListNumber"/>
      </w:pPr>
      <w:r>
        <w:t>Approve the wallet and payment-collection architecture.</w:t>
      </w:r>
    </w:p>
    <w:p>
      <w:pPr>
        <w:pStyle w:val="ListNumber"/>
      </w:pPr>
      <w:r>
        <w:t>Appoint the credit-policy/risk professional and legal/compliance adviser.</w:t>
      </w:r>
    </w:p>
    <w:p>
      <w:pPr>
        <w:pStyle w:val="ListNumber"/>
      </w:pPr>
      <w:r>
        <w:t>Confirm the initial KSh 4 million pilot capital plan.</w:t>
      </w:r>
    </w:p>
    <w:p>
      <w:pPr>
        <w:pStyle w:val="ListNumber"/>
      </w:pPr>
      <w:r>
        <w:t>Select the pilot hardware shops and define the pilot monitoring period.</w:t>
      </w:r>
    </w:p>
    <w:p>
      <w:pPr>
        <w:pStyle w:val="ListNumber"/>
      </w:pPr>
      <w:r>
        <w:t>Approve the first release scope for the Credit Scoring Engine, Loan Tracker and Manufacturer Portal.</w:t>
      </w:r>
    </w:p>
    <w:p>
      <w:pPr>
        <w:pStyle w:val="Heading1"/>
      </w:pPr>
      <w:r>
        <w:t>18. Operating Principle for the Next Phase</w:t>
      </w:r>
    </w:p>
    <w:p>
      <w:r>
        <w:t>Buildex should not attempt to launch the entire ecosystem at once. The recommended sequence is: data → payment visibility → credit policy → controlled credit pilot → measured repayment outcomes → marketplace expansion → consumer intelligence. This creates a feedback loop in which every transaction improves the quality of the next business decision while keeping financial exposure controlled.</w:t>
      </w:r>
    </w:p>
    <w:p>
      <w:r>
        <w:rPr>
          <w:b/>
        </w:rPr>
        <w:t xml:space="preserve">Important: </w:t>
      </w:r>
      <w:r>
        <w:t>All lending, payment, data-sharing, automated collection, pricing and recovery mechanisms should be validated against applicable Kenyan law and regulatory requirements before production launch.</w:t>
      </w:r>
    </w:p>
    <w:p>
      <w:pPr>
        <w:pStyle w:val="Heading1"/>
      </w:pPr>
      <w:r>
        <w:t>19. Decision &amp; Action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Decision / Action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16"/>
            <w:vAlign w:val="top"/>
          </w:tcPr>
          <w:p>
            <w:r>
              <w:t>Credit policy expert appointed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Management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Legal/regulatory review completed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Management / Legal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Pilot hardware shops selected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John / Group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Stock and sales dataset received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Operations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Payment channel selected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Group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Wallet architecture approved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Technical / Product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Credit scoring MVP defined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Data / Risk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Loan tracker specification approved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Technical / Risk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Manufacturer onboarding requirements approved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Connect Team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  <w:tr>
        <w:tc>
          <w:tcPr>
            <w:tcW w:type="dxa" w:w="2016"/>
            <w:vAlign w:val="top"/>
          </w:tcPr>
          <w:p>
            <w:r>
              <w:t>KSh 4M pilot capital secured</w:t>
            </w:r>
          </w:p>
        </w:tc>
        <w:tc>
          <w:tcPr>
            <w:tcW w:type="dxa" w:w="2016"/>
            <w:vAlign w:val="top"/>
          </w:tcPr>
          <w:p>
            <w:r>
              <w:t>Not Started</w:t>
            </w:r>
          </w:p>
        </w:tc>
        <w:tc>
          <w:tcPr>
            <w:tcW w:type="dxa" w:w="2016"/>
            <w:vAlign w:val="top"/>
          </w:tcPr>
          <w:p>
            <w:r>
              <w:t>Management</w:t>
            </w:r>
          </w:p>
        </w:tc>
        <w:tc>
          <w:tcPr>
            <w:tcW w:type="dxa" w:w="2016"/>
            <w:vAlign w:val="top"/>
          </w:tcPr>
          <w:p>
            <w:r/>
          </w:p>
        </w:tc>
        <w:tc>
          <w:tcPr>
            <w:tcW w:type="dxa" w:w="2016"/>
            <w:vAlign w:val="top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Buildex Ecosystem Strategy &amp; Financial Integration | Project Next Steps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