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BCDAC39" wp14:paraId="3BFEFB25" wp14:textId="7A54612F">
      <w:pPr>
        <w:pStyle w:val="Normal"/>
        <w:rPr>
          <w:rFonts w:ascii="system-ui" w:hAnsi="system-ui" w:eastAsia="system-ui" w:cs="system-ui"/>
          <w:noProof w:val="0"/>
          <w:sz w:val="24"/>
          <w:szCs w:val="24"/>
          <w:lang w:val="fr-FR"/>
        </w:rPr>
      </w:pPr>
      <w:r w:rsidRPr="6BCDAC39" w:rsidR="6CF33B7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5. Pôle apiculture, forêt-jardin &amp; bambou — Biodiversité productive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974B00A"/>
    <w:rsid w:val="3974B00A"/>
    <w:rsid w:val="6BCDAC39"/>
    <w:rsid w:val="6CF33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C4DFF"/>
  <w15:chartTrackingRefBased/>
  <w15:docId w15:val="{F028594B-7ED2-4428-B1AF-72B4A8F4033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fr-F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system-u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2026-03-26T20:13:35.8774559Z</dcterms:created>
  <dcterms:modified xsi:type="dcterms:W3CDTF">2026-03-26T20:14:16.2065451Z</dcterms:modified>
  <dc:creator>jean-philippe Heurteux</dc:creator>
  <lastModifiedBy>jean-philippe Heurteux</lastModifiedBy>
</coreProperties>
</file>