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BFEFB25" wp14:textId="4DE303EF">
      <w:r w:rsidR="78745F0D">
        <w:rPr/>
        <w:t>Méthodologie de l’</w:t>
      </w:r>
      <w:r w:rsidR="78745F0D">
        <w:rPr/>
        <w:t>étude</w:t>
      </w:r>
      <w:r w:rsidR="78745F0D">
        <w:rPr/>
        <w:t xml:space="preserve"> de marcher</w:t>
      </w:r>
    </w:p>
    <w:p w:rsidR="097C9638" w:rsidRDefault="097C9638" w14:paraId="241A48A7" w14:textId="1772A427"/>
    <w:p w:rsidR="100E5C89" w:rsidP="097C9638" w:rsidRDefault="100E5C89" w14:paraId="792E4F2A" w14:textId="3164956D">
      <w:pPr>
        <w:shd w:val="clear" w:color="auto" w:fill="FFFFFF" w:themeFill="background1"/>
        <w:spacing w:before="0" w:beforeAutospacing="off" w:after="240" w:afterAutospacing="off"/>
      </w:pPr>
      <w:r w:rsidRPr="097C9638" w:rsidR="100E5C89">
        <w:rPr>
          <w:rFonts w:ascii="system-ui" w:hAnsi="system-ui" w:eastAsia="system-ui" w:cs="system-ui"/>
          <w:b w:val="0"/>
          <w:bCs w:val="0"/>
          <w:i w:val="0"/>
          <w:iCs w:val="0"/>
          <w:caps w:val="0"/>
          <w:smallCaps w:val="0"/>
          <w:noProof w:val="0"/>
          <w:color w:val="0F1115"/>
          <w:sz w:val="24"/>
          <w:szCs w:val="24"/>
          <w:lang w:val="fr-FR"/>
        </w:rPr>
        <w:t>il</w:t>
      </w:r>
      <w:r w:rsidRPr="097C9638" w:rsidR="100E5C89">
        <w:rPr>
          <w:rFonts w:ascii="system-ui" w:hAnsi="system-ui" w:eastAsia="system-ui" w:cs="system-ui"/>
          <w:b w:val="0"/>
          <w:bCs w:val="0"/>
          <w:i w:val="0"/>
          <w:iCs w:val="0"/>
          <w:caps w:val="0"/>
          <w:smallCaps w:val="0"/>
          <w:noProof w:val="0"/>
          <w:color w:val="0F1115"/>
          <w:sz w:val="24"/>
          <w:szCs w:val="24"/>
          <w:lang w:val="fr-FR"/>
        </w:rPr>
        <w:t xml:space="preserve"> existe des différences notables entre les études de marche en </w:t>
      </w:r>
      <w:r w:rsidRPr="097C9638" w:rsidR="57458EF5">
        <w:rPr>
          <w:rFonts w:ascii="system-ui" w:hAnsi="system-ui" w:eastAsia="system-ui" w:cs="system-ui"/>
          <w:b w:val="0"/>
          <w:bCs w:val="0"/>
          <w:i w:val="0"/>
          <w:iCs w:val="0"/>
          <w:caps w:val="0"/>
          <w:smallCaps w:val="0"/>
          <w:noProof w:val="0"/>
          <w:color w:val="0F1115"/>
          <w:sz w:val="24"/>
          <w:szCs w:val="24"/>
          <w:lang w:val="fr-FR"/>
        </w:rPr>
        <w:t>C</w:t>
      </w:r>
      <w:r w:rsidRPr="097C9638" w:rsidR="100E5C89">
        <w:rPr>
          <w:rFonts w:ascii="system-ui" w:hAnsi="system-ui" w:eastAsia="system-ui" w:cs="system-ui"/>
          <w:b w:val="0"/>
          <w:bCs w:val="0"/>
          <w:i w:val="0"/>
          <w:iCs w:val="0"/>
          <w:caps w:val="0"/>
          <w:smallCaps w:val="0"/>
          <w:noProof w:val="0"/>
          <w:color w:val="0F1115"/>
          <w:sz w:val="24"/>
          <w:szCs w:val="24"/>
          <w:lang w:val="fr-FR"/>
        </w:rPr>
        <w:t xml:space="preserve">olombie et en </w:t>
      </w:r>
      <w:r w:rsidRPr="097C9638" w:rsidR="100E5C89">
        <w:rPr>
          <w:rFonts w:ascii="system-ui" w:hAnsi="system-ui" w:eastAsia="system-ui" w:cs="system-ui"/>
          <w:b w:val="0"/>
          <w:bCs w:val="0"/>
          <w:i w:val="0"/>
          <w:iCs w:val="0"/>
          <w:caps w:val="0"/>
          <w:smallCaps w:val="0"/>
          <w:noProof w:val="0"/>
          <w:color w:val="0F1115"/>
          <w:sz w:val="24"/>
          <w:szCs w:val="24"/>
          <w:lang w:val="fr-FR"/>
        </w:rPr>
        <w:t>France.</w:t>
      </w:r>
      <w:r w:rsidRPr="097C9638" w:rsidR="100E5C89">
        <w:rPr>
          <w:rFonts w:ascii="system-ui" w:hAnsi="system-ui" w:eastAsia="system-ui" w:cs="system-ui"/>
          <w:b w:val="0"/>
          <w:bCs w:val="0"/>
          <w:i w:val="0"/>
          <w:iCs w:val="0"/>
          <w:caps w:val="0"/>
          <w:smallCaps w:val="0"/>
          <w:noProof w:val="0"/>
          <w:color w:val="0F1115"/>
          <w:sz w:val="24"/>
          <w:szCs w:val="24"/>
          <w:lang w:val="fr-FR"/>
        </w:rPr>
        <w:t xml:space="preserve"> Bien que la structure de base d'une étude de marché soit universelle, son application concrète diffère sensiblement entre la France et la Colombie, en raison des contextes économique, culturel et réglementaire de chaque pays.</w:t>
      </w:r>
    </w:p>
    <w:p w:rsidR="100E5C89" w:rsidP="097C9638" w:rsidRDefault="100E5C89" w14:paraId="42E021D8" w14:textId="69C90AFA">
      <w:pPr>
        <w:shd w:val="clear" w:color="auto" w:fill="FFFFFF" w:themeFill="background1"/>
        <w:spacing w:before="240" w:beforeAutospacing="off" w:after="240" w:afterAutospacing="off"/>
      </w:pPr>
      <w:r w:rsidRPr="097C9638" w:rsidR="100E5C89">
        <w:rPr>
          <w:rFonts w:ascii="system-ui" w:hAnsi="system-ui" w:eastAsia="system-ui" w:cs="system-ui"/>
          <w:b w:val="0"/>
          <w:bCs w:val="0"/>
          <w:i w:val="0"/>
          <w:iCs w:val="0"/>
          <w:caps w:val="0"/>
          <w:smallCaps w:val="0"/>
          <w:noProof w:val="0"/>
          <w:color w:val="0F1115"/>
          <w:sz w:val="24"/>
          <w:szCs w:val="24"/>
          <w:lang w:val="fr-FR"/>
        </w:rPr>
        <w:t>Voici les principales distinctions à prendre en compte.</w:t>
      </w:r>
    </w:p>
    <w:p w:rsidR="100E5C89" w:rsidP="097C9638" w:rsidRDefault="100E5C89" w14:paraId="174C37C1" w14:textId="28045AAC">
      <w:pPr>
        <w:pStyle w:val="Heading3"/>
        <w:shd w:val="clear" w:color="auto" w:fill="FFFFFF" w:themeFill="background1"/>
        <w:spacing w:before="480" w:beforeAutospacing="off" w:after="240" w:afterAutospacing="off" w:line="450" w:lineRule="auto"/>
      </w:pPr>
      <w:r w:rsidRPr="097C9638" w:rsidR="100E5C89">
        <w:rPr>
          <w:rFonts w:ascii="system-ui" w:hAnsi="system-ui" w:eastAsia="system-ui" w:cs="system-ui"/>
          <w:b w:val="1"/>
          <w:bCs w:val="1"/>
          <w:i w:val="0"/>
          <w:iCs w:val="0"/>
          <w:caps w:val="0"/>
          <w:smallCaps w:val="0"/>
          <w:noProof w:val="0"/>
          <w:color w:val="0F1115"/>
          <w:sz w:val="30"/>
          <w:szCs w:val="30"/>
          <w:lang w:val="fr-FR"/>
        </w:rPr>
        <w:t>🧭 Méthodologie : Des différences de fond dans l'approche et l'exécution</w:t>
      </w:r>
    </w:p>
    <w:tbl>
      <w:tblPr>
        <w:tblStyle w:val="TableNormal"/>
        <w:bidiVisual w:val="0"/>
        <w:tblW w:w="0" w:type="auto"/>
        <w:tblLook w:val="06A0" w:firstRow="1" w:lastRow="0" w:firstColumn="1" w:lastColumn="0" w:noHBand="1" w:noVBand="1"/>
      </w:tblPr>
      <w:tblGrid>
        <w:gridCol w:w="3039"/>
        <w:gridCol w:w="3580"/>
        <w:gridCol w:w="3700"/>
      </w:tblGrid>
      <w:tr w:rsidR="097C9638" w:rsidTr="097C9638" w14:paraId="7F62ACC4">
        <w:trPr>
          <w:trHeight w:val="300"/>
        </w:trPr>
        <w:tc>
          <w:tcPr>
            <w:tcW w:w="3039" w:type="dxa"/>
            <w:tcBorders>
              <w:top w:val="nil"/>
              <w:bottom w:val="single" w:sz="6"/>
            </w:tcBorders>
            <w:tcMar>
              <w:top w:w="150" w:type="dxa"/>
              <w:bottom w:w="150" w:type="dxa"/>
              <w:right w:w="240" w:type="dxa"/>
            </w:tcMar>
            <w:vAlign w:val="center"/>
          </w:tcPr>
          <w:p w:rsidR="097C9638" w:rsidP="097C9638" w:rsidRDefault="097C9638" w14:paraId="0B0D5185" w14:textId="5C6F0674">
            <w:pPr>
              <w:shd w:val="clear" w:color="auto" w:fill="FFFFFF" w:themeFill="background1"/>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Aspect</w:t>
            </w:r>
          </w:p>
        </w:tc>
        <w:tc>
          <w:tcPr>
            <w:tcW w:w="3580" w:type="dxa"/>
            <w:tcBorders>
              <w:top w:val="nil"/>
              <w:bottom w:val="single" w:sz="6"/>
            </w:tcBorders>
            <w:tcMar>
              <w:top w:w="150" w:type="dxa"/>
              <w:left w:w="240" w:type="dxa"/>
              <w:bottom w:w="150" w:type="dxa"/>
              <w:right w:w="240" w:type="dxa"/>
            </w:tcMar>
            <w:vAlign w:val="center"/>
          </w:tcPr>
          <w:p w:rsidR="097C9638" w:rsidP="097C9638" w:rsidRDefault="097C9638" w14:paraId="73541F97" w14:textId="43222F3B">
            <w:pPr>
              <w:shd w:val="clear" w:color="auto" w:fill="FFFFFF" w:themeFill="background1"/>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 France</w:t>
            </w:r>
          </w:p>
        </w:tc>
        <w:tc>
          <w:tcPr>
            <w:tcW w:w="3700" w:type="dxa"/>
            <w:tcBorders>
              <w:top w:val="nil"/>
              <w:bottom w:val="single" w:sz="6"/>
            </w:tcBorders>
            <w:tcMar>
              <w:top w:w="150" w:type="dxa"/>
              <w:left w:w="240" w:type="dxa"/>
              <w:bottom w:w="150" w:type="dxa"/>
              <w:right w:w="240" w:type="dxa"/>
            </w:tcMar>
            <w:vAlign w:val="center"/>
          </w:tcPr>
          <w:p w:rsidR="097C9638" w:rsidP="097C9638" w:rsidRDefault="097C9638" w14:paraId="1C759501" w14:textId="7DF40F2B">
            <w:pPr>
              <w:shd w:val="clear" w:color="auto" w:fill="FFFFFF" w:themeFill="background1"/>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 Colombie</w:t>
            </w:r>
          </w:p>
        </w:tc>
      </w:tr>
      <w:tr w:rsidR="097C9638" w:rsidTr="097C9638" w14:paraId="6429F7D9">
        <w:trPr>
          <w:trHeight w:val="300"/>
        </w:trPr>
        <w:tc>
          <w:tcPr>
            <w:tcW w:w="3039" w:type="dxa"/>
            <w:tcBorders>
              <w:bottom w:val="single" w:sz="6"/>
            </w:tcBorders>
            <w:tcMar>
              <w:top w:w="150" w:type="dxa"/>
              <w:bottom w:w="150" w:type="dxa"/>
              <w:right w:w="240" w:type="dxa"/>
            </w:tcMar>
            <w:vAlign w:val="center"/>
          </w:tcPr>
          <w:p w:rsidR="097C9638" w:rsidP="097C9638" w:rsidRDefault="097C9638" w14:paraId="17B5F453" w14:textId="005F128F">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Cadre Normatif</w:t>
            </w:r>
          </w:p>
        </w:tc>
        <w:tc>
          <w:tcPr>
            <w:tcW w:w="3580" w:type="dxa"/>
            <w:tcBorders>
              <w:bottom w:val="single" w:sz="6"/>
            </w:tcBorders>
            <w:tcMar>
              <w:top w:w="150" w:type="dxa"/>
              <w:left w:w="240" w:type="dxa"/>
              <w:bottom w:w="150" w:type="dxa"/>
              <w:right w:w="240" w:type="dxa"/>
            </w:tcMar>
            <w:vAlign w:val="center"/>
          </w:tcPr>
          <w:p w:rsidR="097C9638" w:rsidP="097C9638" w:rsidRDefault="097C9638" w14:paraId="480F4A51" w14:textId="3C41FDE8">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Cadre très formalisé avec des normes (AFNOR NF X 50-057) et des codes de conduite stricts (ICC/ESOMAR) pour encadrer les pratiques et l'éthique des études.</w:t>
            </w:r>
          </w:p>
        </w:tc>
        <w:tc>
          <w:tcPr>
            <w:tcW w:w="3700" w:type="dxa"/>
            <w:tcBorders>
              <w:bottom w:val="single" w:sz="6"/>
            </w:tcBorders>
            <w:tcMar>
              <w:top w:w="150" w:type="dxa"/>
              <w:left w:w="240" w:type="dxa"/>
              <w:bottom w:w="150" w:type="dxa"/>
            </w:tcMar>
            <w:vAlign w:val="center"/>
          </w:tcPr>
          <w:p w:rsidR="097C9638" w:rsidP="097C9638" w:rsidRDefault="097C9638" w14:paraId="3DDD1A46" w14:textId="73AA85ED">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Cadre général moins centralisé ; les études suivent les bonnes pratiques internationales mais sans équivalent direct à la norme AFNOR.</w:t>
            </w:r>
          </w:p>
        </w:tc>
      </w:tr>
      <w:tr w:rsidR="097C9638" w:rsidTr="097C9638" w14:paraId="66AFB5FD">
        <w:trPr>
          <w:trHeight w:val="300"/>
        </w:trPr>
        <w:tc>
          <w:tcPr>
            <w:tcW w:w="3039" w:type="dxa"/>
            <w:tcBorders>
              <w:bottom w:val="single" w:sz="6"/>
            </w:tcBorders>
            <w:tcMar>
              <w:top w:w="150" w:type="dxa"/>
              <w:bottom w:w="150" w:type="dxa"/>
              <w:right w:w="240" w:type="dxa"/>
            </w:tcMar>
            <w:vAlign w:val="center"/>
          </w:tcPr>
          <w:p w:rsidR="097C9638" w:rsidP="097C9638" w:rsidRDefault="097C9638" w14:paraId="6C4789D5" w14:textId="4D2F9756">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Approche Primordiale</w:t>
            </w:r>
          </w:p>
        </w:tc>
        <w:tc>
          <w:tcPr>
            <w:tcW w:w="3580" w:type="dxa"/>
            <w:tcBorders>
              <w:bottom w:val="single" w:sz="6"/>
            </w:tcBorders>
            <w:tcMar>
              <w:top w:w="150" w:type="dxa"/>
              <w:left w:w="240" w:type="dxa"/>
              <w:bottom w:w="150" w:type="dxa"/>
              <w:right w:w="240" w:type="dxa"/>
            </w:tcMar>
            <w:vAlign w:val="center"/>
          </w:tcPr>
          <w:p w:rsidR="097C9638" w:rsidP="097C9638" w:rsidRDefault="097C9638" w14:paraId="1A87E66A" w14:textId="5DBD2FC1">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Recours systématique aux données quantitatives issues de panels, de statistiques publiques et d'enquêtes en ligne.</w:t>
            </w:r>
          </w:p>
        </w:tc>
        <w:tc>
          <w:tcPr>
            <w:tcW w:w="3700" w:type="dxa"/>
            <w:tcBorders>
              <w:bottom w:val="single" w:sz="6"/>
            </w:tcBorders>
            <w:tcMar>
              <w:top w:w="150" w:type="dxa"/>
              <w:left w:w="240" w:type="dxa"/>
              <w:bottom w:w="150" w:type="dxa"/>
            </w:tcMar>
            <w:vAlign w:val="center"/>
          </w:tcPr>
          <w:p w:rsidR="097C9638" w:rsidP="097C9638" w:rsidRDefault="097C9638" w14:paraId="09DF8EB5" w14:textId="40FC29AB">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Forte complémentarité entre les approches, avec un recours important aux données primaires et aux enquêtes de terrain pour compenser le manque de données secondaires fiables.</w:t>
            </w:r>
          </w:p>
        </w:tc>
      </w:tr>
      <w:tr w:rsidR="097C9638" w:rsidTr="097C9638" w14:paraId="1AB7DAB1">
        <w:trPr>
          <w:trHeight w:val="300"/>
        </w:trPr>
        <w:tc>
          <w:tcPr>
            <w:tcW w:w="3039" w:type="dxa"/>
            <w:tcBorders>
              <w:bottom w:val="single" w:sz="6"/>
            </w:tcBorders>
            <w:tcMar>
              <w:top w:w="150" w:type="dxa"/>
              <w:bottom w:w="150" w:type="dxa"/>
              <w:right w:w="240" w:type="dxa"/>
            </w:tcMar>
            <w:vAlign w:val="center"/>
          </w:tcPr>
          <w:p w:rsidR="097C9638" w:rsidP="097C9638" w:rsidRDefault="097C9638" w14:paraId="3FEFEA89" w14:textId="51146520">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Environnement de Collecte</w:t>
            </w:r>
          </w:p>
        </w:tc>
        <w:tc>
          <w:tcPr>
            <w:tcW w:w="3580" w:type="dxa"/>
            <w:tcBorders>
              <w:bottom w:val="single" w:sz="6"/>
            </w:tcBorders>
            <w:tcMar>
              <w:top w:w="150" w:type="dxa"/>
              <w:left w:w="240" w:type="dxa"/>
              <w:bottom w:w="150" w:type="dxa"/>
              <w:right w:w="240" w:type="dxa"/>
            </w:tcMar>
            <w:vAlign w:val="center"/>
          </w:tcPr>
          <w:p w:rsidR="097C9638" w:rsidP="097C9638" w:rsidRDefault="097C9638" w14:paraId="3F0E6CD3" w14:textId="0DEB189E">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Environnement mature avec un bon accès aux données secondaires, des bases de données robustes (INSEE, etc.) et un fort taux de pénétration d'Internet.</w:t>
            </w:r>
          </w:p>
        </w:tc>
        <w:tc>
          <w:tcPr>
            <w:tcW w:w="3700" w:type="dxa"/>
            <w:tcBorders>
              <w:bottom w:val="single" w:sz="6"/>
            </w:tcBorders>
            <w:tcMar>
              <w:top w:w="150" w:type="dxa"/>
              <w:left w:w="240" w:type="dxa"/>
              <w:bottom w:w="150" w:type="dxa"/>
            </w:tcMar>
            <w:vAlign w:val="center"/>
          </w:tcPr>
          <w:p w:rsidR="097C9638" w:rsidP="097C9638" w:rsidRDefault="097C9638" w14:paraId="369707E2" w14:textId="68717C6A">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Terrain plus complexe avec une économie informelle importante (près de 60% des travailleurs), des bases de données parfois incomplètes et une fracture numérique plus marquée.</w:t>
            </w:r>
          </w:p>
        </w:tc>
      </w:tr>
      <w:tr w:rsidR="097C9638" w:rsidTr="097C9638" w14:paraId="235A7824">
        <w:trPr>
          <w:trHeight w:val="300"/>
        </w:trPr>
        <w:tc>
          <w:tcPr>
            <w:tcW w:w="3039" w:type="dxa"/>
            <w:tcBorders>
              <w:bottom w:val="single" w:sz="6"/>
            </w:tcBorders>
            <w:tcMar>
              <w:top w:w="150" w:type="dxa"/>
              <w:bottom w:w="150" w:type="dxa"/>
              <w:right w:w="240" w:type="dxa"/>
            </w:tcMar>
            <w:vAlign w:val="center"/>
          </w:tcPr>
          <w:p w:rsidR="097C9638" w:rsidP="097C9638" w:rsidRDefault="097C9638" w14:paraId="32AC9615" w14:textId="09240375">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Techniques de Collecte</w:t>
            </w:r>
          </w:p>
        </w:tc>
        <w:tc>
          <w:tcPr>
            <w:tcW w:w="3580" w:type="dxa"/>
            <w:tcBorders>
              <w:bottom w:val="single" w:sz="6"/>
            </w:tcBorders>
            <w:tcMar>
              <w:top w:w="150" w:type="dxa"/>
              <w:left w:w="240" w:type="dxa"/>
              <w:bottom w:w="150" w:type="dxa"/>
              <w:right w:w="240" w:type="dxa"/>
            </w:tcMar>
            <w:vAlign w:val="center"/>
          </w:tcPr>
          <w:p w:rsidR="097C9638" w:rsidP="097C9638" w:rsidRDefault="097C9638" w14:paraId="3E5F0E8C" w14:textId="60C6FBDF">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Enquêtes quantitatives (en ligne, téléphone) majoritaires pour leur efficacité ; les qualitatives (focus groups) sont utilisées pour approfondir.</w:t>
            </w:r>
          </w:p>
        </w:tc>
        <w:tc>
          <w:tcPr>
            <w:tcW w:w="3700" w:type="dxa"/>
            <w:tcBorders>
              <w:bottom w:val="single" w:sz="6"/>
            </w:tcBorders>
            <w:tcMar>
              <w:top w:w="150" w:type="dxa"/>
              <w:left w:w="240" w:type="dxa"/>
              <w:bottom w:w="150" w:type="dxa"/>
            </w:tcMar>
            <w:vAlign w:val="center"/>
          </w:tcPr>
          <w:p w:rsidR="097C9638" w:rsidP="097C9638" w:rsidRDefault="097C9638" w14:paraId="6893408E" w14:textId="7AAD67DF">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 xml:space="preserve">Combinaison plus fréquente des méthodes : enquêtes en ligne et téléphone, mais aussi </w:t>
            </w:r>
            <w:r w:rsidRPr="097C9638" w:rsidR="097C9638">
              <w:rPr>
                <w:rFonts w:ascii="system-ui" w:hAnsi="system-ui" w:eastAsia="system-ui" w:cs="system-ui"/>
                <w:b w:val="1"/>
                <w:bCs w:val="1"/>
                <w:i w:val="0"/>
                <w:iCs w:val="0"/>
                <w:sz w:val="22"/>
                <w:szCs w:val="22"/>
              </w:rPr>
              <w:t>entretiens en face-à-face</w:t>
            </w:r>
            <w:r w:rsidRPr="097C9638" w:rsidR="097C9638">
              <w:rPr>
                <w:rFonts w:ascii="system-ui" w:hAnsi="system-ui" w:eastAsia="system-ui" w:cs="system-ui"/>
                <w:b w:val="0"/>
                <w:bCs w:val="0"/>
                <w:i w:val="0"/>
                <w:iCs w:val="0"/>
                <w:sz w:val="22"/>
                <w:szCs w:val="22"/>
              </w:rPr>
              <w:t xml:space="preserve"> pour toucher des populations moins connectées ou en zones rurales.</w:t>
            </w:r>
          </w:p>
        </w:tc>
      </w:tr>
      <w:tr w:rsidR="097C9638" w:rsidTr="097C9638" w14:paraId="242D0F5F">
        <w:trPr>
          <w:trHeight w:val="300"/>
        </w:trPr>
        <w:tc>
          <w:tcPr>
            <w:tcW w:w="3039" w:type="dxa"/>
            <w:tcBorders>
              <w:bottom w:val="single" w:sz="6"/>
            </w:tcBorders>
            <w:tcMar>
              <w:top w:w="150" w:type="dxa"/>
              <w:bottom w:w="150" w:type="dxa"/>
              <w:right w:w="240" w:type="dxa"/>
            </w:tcMar>
            <w:vAlign w:val="center"/>
          </w:tcPr>
          <w:p w:rsidR="097C9638" w:rsidP="097C9638" w:rsidRDefault="097C9638" w14:paraId="1F8A8986" w14:textId="77FE7BD9">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Intégration des Considérations Locales</w:t>
            </w:r>
          </w:p>
        </w:tc>
        <w:tc>
          <w:tcPr>
            <w:tcW w:w="3580" w:type="dxa"/>
            <w:tcBorders>
              <w:bottom w:val="single" w:sz="6"/>
            </w:tcBorders>
            <w:tcMar>
              <w:top w:w="150" w:type="dxa"/>
              <w:left w:w="240" w:type="dxa"/>
              <w:bottom w:w="150" w:type="dxa"/>
              <w:right w:w="240" w:type="dxa"/>
            </w:tcMar>
            <w:vAlign w:val="center"/>
          </w:tcPr>
          <w:p w:rsidR="097C9638" w:rsidP="097C9638" w:rsidRDefault="097C9638" w14:paraId="583AFB5D" w14:textId="43D6E5B9">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Prise en compte des régions (ex. régions administratives) mais les analyses marketing se font souvent à l'échelle nationale ou européenne.</w:t>
            </w:r>
          </w:p>
        </w:tc>
        <w:tc>
          <w:tcPr>
            <w:tcW w:w="3700" w:type="dxa"/>
            <w:tcBorders>
              <w:bottom w:val="single" w:sz="6"/>
            </w:tcBorders>
            <w:tcMar>
              <w:top w:w="150" w:type="dxa"/>
              <w:left w:w="240" w:type="dxa"/>
              <w:bottom w:w="150" w:type="dxa"/>
            </w:tcMar>
            <w:vAlign w:val="center"/>
          </w:tcPr>
          <w:p w:rsidR="097C9638" w:rsidP="097C9638" w:rsidRDefault="097C9638" w14:paraId="302BAE27" w14:textId="2E707003">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 xml:space="preserve">Nécessité cruciale de segmenter les analyses par </w:t>
            </w:r>
            <w:r w:rsidRPr="097C9638" w:rsidR="097C9638">
              <w:rPr>
                <w:rFonts w:ascii="system-ui" w:hAnsi="system-ui" w:eastAsia="system-ui" w:cs="system-ui"/>
                <w:b w:val="1"/>
                <w:bCs w:val="1"/>
                <w:i w:val="0"/>
                <w:iCs w:val="0"/>
                <w:sz w:val="22"/>
                <w:szCs w:val="22"/>
              </w:rPr>
              <w:t>régions naturelles</w:t>
            </w:r>
            <w:r w:rsidRPr="097C9638" w:rsidR="097C9638">
              <w:rPr>
                <w:rFonts w:ascii="system-ui" w:hAnsi="system-ui" w:eastAsia="system-ui" w:cs="system-ui"/>
                <w:b w:val="0"/>
                <w:bCs w:val="0"/>
                <w:i w:val="0"/>
                <w:iCs w:val="0"/>
                <w:sz w:val="22"/>
                <w:szCs w:val="22"/>
              </w:rPr>
              <w:t xml:space="preserve"> (Andine, Caraïbe, Pacifique, Amazonie, Orénoquie) aux réalités économiques et culturelles très contrastées.</w:t>
            </w:r>
          </w:p>
        </w:tc>
      </w:tr>
    </w:tbl>
    <w:p w:rsidR="100E5C89" w:rsidP="097C9638" w:rsidRDefault="100E5C89" w14:paraId="40F96DE3" w14:textId="3E795366">
      <w:pPr>
        <w:pStyle w:val="Heading3"/>
        <w:shd w:val="clear" w:color="auto" w:fill="FFFFFF" w:themeFill="background1"/>
        <w:bidi w:val="0"/>
        <w:spacing w:before="480" w:beforeAutospacing="off" w:after="240" w:afterAutospacing="off" w:line="450" w:lineRule="auto"/>
      </w:pPr>
      <w:r w:rsidRPr="097C9638" w:rsidR="100E5C89">
        <w:rPr>
          <w:rFonts w:ascii="system-ui" w:hAnsi="system-ui" w:eastAsia="system-ui" w:cs="system-ui"/>
          <w:b w:val="1"/>
          <w:bCs w:val="1"/>
          <w:i w:val="0"/>
          <w:iCs w:val="0"/>
          <w:caps w:val="0"/>
          <w:smallCaps w:val="0"/>
          <w:noProof w:val="0"/>
          <w:color w:val="0F1115"/>
          <w:sz w:val="30"/>
          <w:szCs w:val="30"/>
          <w:lang w:val="fr-FR"/>
        </w:rPr>
        <w:t>📑 Présentation : Des formats adaptés aux attentes du public</w:t>
      </w:r>
    </w:p>
    <w:p w:rsidR="100E5C89" w:rsidP="097C9638" w:rsidRDefault="100E5C89" w14:paraId="228BF953" w14:textId="4C4B9F55">
      <w:pPr>
        <w:shd w:val="clear" w:color="auto" w:fill="FFFFFF" w:themeFill="background1"/>
        <w:bidi w:val="0"/>
        <w:spacing w:before="240" w:beforeAutospacing="off" w:after="240" w:afterAutospacing="off"/>
      </w:pPr>
      <w:r w:rsidRPr="097C9638" w:rsidR="100E5C89">
        <w:rPr>
          <w:rFonts w:ascii="system-ui" w:hAnsi="system-ui" w:eastAsia="system-ui" w:cs="system-ui"/>
          <w:b w:val="0"/>
          <w:bCs w:val="0"/>
          <w:i w:val="0"/>
          <w:iCs w:val="0"/>
          <w:caps w:val="0"/>
          <w:smallCaps w:val="0"/>
          <w:noProof w:val="0"/>
          <w:color w:val="0F1115"/>
          <w:sz w:val="24"/>
          <w:szCs w:val="24"/>
          <w:lang w:val="fr-FR"/>
        </w:rPr>
        <w:t>La forme du rapport final est également un marqueur culturel.</w:t>
      </w:r>
    </w:p>
    <w:p w:rsidR="100E5C89" w:rsidP="097C9638" w:rsidRDefault="100E5C89" w14:paraId="3245D769" w14:textId="4E3CC79C">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100E5C89">
        <w:rPr>
          <w:rFonts w:ascii="system-ui" w:hAnsi="system-ui" w:eastAsia="system-ui" w:cs="system-ui"/>
          <w:b w:val="1"/>
          <w:bCs w:val="1"/>
          <w:i w:val="0"/>
          <w:iCs w:val="0"/>
          <w:caps w:val="0"/>
          <w:smallCaps w:val="0"/>
          <w:noProof w:val="0"/>
          <w:color w:val="0F1115"/>
          <w:sz w:val="24"/>
          <w:szCs w:val="24"/>
          <w:lang w:val="fr-FR"/>
        </w:rPr>
        <w:t>En France, le rapport est conçu comme un outil de décision</w:t>
      </w:r>
      <w:r w:rsidRPr="097C9638" w:rsidR="100E5C89">
        <w:rPr>
          <w:rFonts w:ascii="system-ui" w:hAnsi="system-ui" w:eastAsia="system-ui" w:cs="system-ui"/>
          <w:b w:val="0"/>
          <w:bCs w:val="0"/>
          <w:i w:val="0"/>
          <w:iCs w:val="0"/>
          <w:caps w:val="0"/>
          <w:smallCaps w:val="0"/>
          <w:noProof w:val="0"/>
          <w:color w:val="0F1115"/>
          <w:sz w:val="24"/>
          <w:szCs w:val="24"/>
          <w:lang w:val="fr-FR"/>
        </w:rPr>
        <w:t>. Il est synthétique et structuré, avec une table des matières claire, des résumés analytiques et des préconisations stratégiques concrètes. La forme orale est très prisée, avec une présentation dynamique pour convaincre les parties prenantes.</w:t>
      </w:r>
    </w:p>
    <w:p w:rsidR="100E5C89" w:rsidP="097C9638" w:rsidRDefault="100E5C89" w14:paraId="6394BC28" w14:textId="2327E46D">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100E5C89">
        <w:rPr>
          <w:rFonts w:ascii="system-ui" w:hAnsi="system-ui" w:eastAsia="system-ui" w:cs="system-ui"/>
          <w:b w:val="1"/>
          <w:bCs w:val="1"/>
          <w:i w:val="0"/>
          <w:iCs w:val="0"/>
          <w:caps w:val="0"/>
          <w:smallCaps w:val="0"/>
          <w:noProof w:val="0"/>
          <w:color w:val="0F1115"/>
          <w:sz w:val="24"/>
          <w:szCs w:val="24"/>
          <w:lang w:val="fr-FR"/>
        </w:rPr>
        <w:t>En Colombie, le rapport met davantage l'accent sur la rigueur de la collecte</w:t>
      </w:r>
      <w:r w:rsidRPr="097C9638" w:rsidR="100E5C89">
        <w:rPr>
          <w:rFonts w:ascii="system-ui" w:hAnsi="system-ui" w:eastAsia="system-ui" w:cs="system-ui"/>
          <w:b w:val="0"/>
          <w:bCs w:val="0"/>
          <w:i w:val="0"/>
          <w:iCs w:val="0"/>
          <w:caps w:val="0"/>
          <w:smallCaps w:val="0"/>
          <w:noProof w:val="0"/>
          <w:color w:val="0F1115"/>
          <w:sz w:val="24"/>
          <w:szCs w:val="24"/>
          <w:lang w:val="fr-FR"/>
        </w:rPr>
        <w:t xml:space="preserve">. Il détaille les sources primaires et la méthodologie de terrain pour prouver la solidité des résultats. Une attention particulière est portée aux </w:t>
      </w:r>
      <w:r w:rsidRPr="097C9638" w:rsidR="100E5C89">
        <w:rPr>
          <w:rFonts w:ascii="system-ui" w:hAnsi="system-ui" w:eastAsia="system-ui" w:cs="system-ui"/>
          <w:b w:val="1"/>
          <w:bCs w:val="1"/>
          <w:i w:val="0"/>
          <w:iCs w:val="0"/>
          <w:caps w:val="0"/>
          <w:smallCaps w:val="0"/>
          <w:noProof w:val="0"/>
          <w:color w:val="0F1115"/>
          <w:sz w:val="24"/>
          <w:szCs w:val="24"/>
          <w:lang w:val="fr-FR"/>
        </w:rPr>
        <w:t>aspects juridiques et réglementaires</w:t>
      </w:r>
      <w:r w:rsidRPr="097C9638" w:rsidR="100E5C89">
        <w:rPr>
          <w:rFonts w:ascii="system-ui" w:hAnsi="system-ui" w:eastAsia="system-ui" w:cs="system-ui"/>
          <w:b w:val="0"/>
          <w:bCs w:val="0"/>
          <w:i w:val="0"/>
          <w:iCs w:val="0"/>
          <w:caps w:val="0"/>
          <w:smallCaps w:val="0"/>
          <w:noProof w:val="0"/>
          <w:color w:val="0F1115"/>
          <w:sz w:val="24"/>
          <w:szCs w:val="24"/>
          <w:lang w:val="fr-FR"/>
        </w:rPr>
        <w:t>, cruciaux dans un contexte où l'instabilité peut représenter un risque.</w:t>
      </w:r>
    </w:p>
    <w:p w:rsidR="100E5C89" w:rsidP="097C9638" w:rsidRDefault="100E5C89" w14:paraId="0641C2D5" w14:textId="6A77BF0D">
      <w:pPr>
        <w:pStyle w:val="Heading3"/>
        <w:shd w:val="clear" w:color="auto" w:fill="FFFFFF" w:themeFill="background1"/>
        <w:bidi w:val="0"/>
        <w:spacing w:before="480" w:beforeAutospacing="off" w:after="240" w:afterAutospacing="off" w:line="450" w:lineRule="auto"/>
      </w:pPr>
      <w:r w:rsidRPr="097C9638" w:rsidR="100E5C89">
        <w:rPr>
          <w:rFonts w:ascii="system-ui" w:hAnsi="system-ui" w:eastAsia="system-ui" w:cs="system-ui"/>
          <w:b w:val="1"/>
          <w:bCs w:val="1"/>
          <w:i w:val="0"/>
          <w:iCs w:val="0"/>
          <w:caps w:val="0"/>
          <w:smallCaps w:val="0"/>
          <w:noProof w:val="0"/>
          <w:color w:val="0F1115"/>
          <w:sz w:val="30"/>
          <w:szCs w:val="30"/>
          <w:lang w:val="fr-FR"/>
        </w:rPr>
        <w:t>💎 Conclusion : Une adaptation stratégique indispensable</w:t>
      </w:r>
    </w:p>
    <w:p w:rsidR="100E5C89" w:rsidP="097C9638" w:rsidRDefault="100E5C89" w14:paraId="323F58C8" w14:textId="772F0C00">
      <w:pPr>
        <w:shd w:val="clear" w:color="auto" w:fill="FFFFFF" w:themeFill="background1"/>
        <w:bidi w:val="0"/>
        <w:spacing w:before="240" w:beforeAutospacing="off" w:after="240" w:afterAutospacing="off"/>
      </w:pPr>
      <w:r w:rsidRPr="097C9638" w:rsidR="100E5C89">
        <w:rPr>
          <w:rFonts w:ascii="system-ui" w:hAnsi="system-ui" w:eastAsia="system-ui" w:cs="system-ui"/>
          <w:b w:val="0"/>
          <w:bCs w:val="0"/>
          <w:i w:val="0"/>
          <w:iCs w:val="0"/>
          <w:caps w:val="0"/>
          <w:smallCaps w:val="0"/>
          <w:noProof w:val="0"/>
          <w:color w:val="0F1115"/>
          <w:sz w:val="24"/>
          <w:szCs w:val="24"/>
          <w:lang w:val="fr-FR"/>
        </w:rPr>
        <w:t xml:space="preserve">En résumé, l'étude de marché est plus </w:t>
      </w:r>
      <w:r w:rsidRPr="097C9638" w:rsidR="100E5C89">
        <w:rPr>
          <w:rFonts w:ascii="system-ui" w:hAnsi="system-ui" w:eastAsia="system-ui" w:cs="system-ui"/>
          <w:b w:val="1"/>
          <w:bCs w:val="1"/>
          <w:i w:val="0"/>
          <w:iCs w:val="0"/>
          <w:caps w:val="0"/>
          <w:smallCaps w:val="0"/>
          <w:noProof w:val="0"/>
          <w:color w:val="0F1115"/>
          <w:sz w:val="24"/>
          <w:szCs w:val="24"/>
          <w:lang w:val="fr-FR"/>
        </w:rPr>
        <w:t>réglementée et structurée</w:t>
      </w:r>
      <w:r w:rsidRPr="097C9638" w:rsidR="100E5C89">
        <w:rPr>
          <w:rFonts w:ascii="system-ui" w:hAnsi="system-ui" w:eastAsia="system-ui" w:cs="system-ui"/>
          <w:b w:val="0"/>
          <w:bCs w:val="0"/>
          <w:i w:val="0"/>
          <w:iCs w:val="0"/>
          <w:caps w:val="0"/>
          <w:smallCaps w:val="0"/>
          <w:noProof w:val="0"/>
          <w:color w:val="0F1115"/>
          <w:sz w:val="24"/>
          <w:szCs w:val="24"/>
          <w:lang w:val="fr-FR"/>
        </w:rPr>
        <w:t xml:space="preserve"> en France, avec un accent sur l'efficacité des méthodes quantitatives et un rapport orienté "décision".</w:t>
      </w:r>
    </w:p>
    <w:p w:rsidR="100E5C89" w:rsidP="097C9638" w:rsidRDefault="100E5C89" w14:paraId="4420213C" w14:textId="79025924">
      <w:pPr>
        <w:shd w:val="clear" w:color="auto" w:fill="FFFFFF" w:themeFill="background1"/>
        <w:bidi w:val="0"/>
        <w:spacing w:before="240" w:beforeAutospacing="off" w:after="240" w:afterAutospacing="off"/>
      </w:pPr>
      <w:r w:rsidRPr="097C9638" w:rsidR="100E5C89">
        <w:rPr>
          <w:rFonts w:ascii="system-ui" w:hAnsi="system-ui" w:eastAsia="system-ui" w:cs="system-ui"/>
          <w:b w:val="0"/>
          <w:bCs w:val="0"/>
          <w:i w:val="0"/>
          <w:iCs w:val="0"/>
          <w:caps w:val="0"/>
          <w:smallCaps w:val="0"/>
          <w:noProof w:val="0"/>
          <w:color w:val="0F1115"/>
          <w:sz w:val="24"/>
          <w:szCs w:val="24"/>
          <w:lang w:val="fr-FR"/>
        </w:rPr>
        <w:t xml:space="preserve">En Colombie, la démarche exige une </w:t>
      </w:r>
      <w:r w:rsidRPr="097C9638" w:rsidR="100E5C89">
        <w:rPr>
          <w:rFonts w:ascii="system-ui" w:hAnsi="system-ui" w:eastAsia="system-ui" w:cs="system-ui"/>
          <w:b w:val="1"/>
          <w:bCs w:val="1"/>
          <w:i w:val="0"/>
          <w:iCs w:val="0"/>
          <w:caps w:val="0"/>
          <w:smallCaps w:val="0"/>
          <w:noProof w:val="0"/>
          <w:color w:val="0F1115"/>
          <w:sz w:val="24"/>
          <w:szCs w:val="24"/>
          <w:lang w:val="fr-FR"/>
        </w:rPr>
        <w:t>plus grande adaptabilité</w:t>
      </w:r>
      <w:r w:rsidRPr="097C9638" w:rsidR="100E5C89">
        <w:rPr>
          <w:rFonts w:ascii="system-ui" w:hAnsi="system-ui" w:eastAsia="system-ui" w:cs="system-ui"/>
          <w:b w:val="0"/>
          <w:bCs w:val="0"/>
          <w:i w:val="0"/>
          <w:iCs w:val="0"/>
          <w:caps w:val="0"/>
          <w:smallCaps w:val="0"/>
          <w:noProof w:val="0"/>
          <w:color w:val="0F1115"/>
          <w:sz w:val="24"/>
          <w:szCs w:val="24"/>
          <w:lang w:val="fr-FR"/>
        </w:rPr>
        <w:t xml:space="preserve"> pour composer avec un environnement plus incertain. Les approches qualitatives de terrain y sont cruciales pour obtenir des données fiables, et le rapport final met en avant la méthodologie de collecte pour asseoir sa crédibilité. Bien comprendre ces nuances est essentiel pour mener des études pertinentes et exploitables dans chacun de ces marchés.</w:t>
      </w:r>
    </w:p>
    <w:p w:rsidR="097C9638" w:rsidRDefault="097C9638" w14:paraId="3605CE0F" w14:textId="72AB288E"/>
    <w:p w:rsidR="36303A16" w:rsidP="097C9638" w:rsidRDefault="36303A16" w14:paraId="1346608F" w14:textId="1EA2C4B3">
      <w:pPr>
        <w:pStyle w:val="Heading2"/>
        <w:shd w:val="clear" w:color="auto" w:fill="FFFFFF" w:themeFill="background1"/>
        <w:spacing w:before="480" w:beforeAutospacing="off" w:after="240" w:afterAutospacing="off" w:line="480" w:lineRule="auto"/>
      </w:pPr>
      <w:r w:rsidRPr="097C9638" w:rsidR="36303A16">
        <w:rPr>
          <w:rFonts w:ascii="system-ui" w:hAnsi="system-ui" w:eastAsia="system-ui" w:cs="system-ui"/>
          <w:b w:val="1"/>
          <w:bCs w:val="1"/>
          <w:i w:val="0"/>
          <w:iCs w:val="0"/>
          <w:caps w:val="0"/>
          <w:smallCaps w:val="0"/>
          <w:noProof w:val="0"/>
          <w:color w:val="0F1115"/>
          <w:sz w:val="33"/>
          <w:szCs w:val="33"/>
          <w:lang w:val="fr-FR"/>
        </w:rPr>
        <w:t>📌 Plan général de l’étude (valable pour les deux pays)</w:t>
      </w:r>
    </w:p>
    <w:p w:rsidR="36303A16" w:rsidP="097C9638" w:rsidRDefault="36303A16" w14:paraId="0174FE47" w14:textId="728D7F77">
      <w:pPr>
        <w:pStyle w:val="Heading3"/>
        <w:shd w:val="clear" w:color="auto" w:fill="FFFFFF" w:themeFill="background1"/>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1. Fiche d’identité de l’étude</w:t>
      </w:r>
    </w:p>
    <w:p w:rsidR="36303A16" w:rsidP="097C9638" w:rsidRDefault="36303A16" w14:paraId="2460D032" w14:textId="0E8B40B5">
      <w:pPr>
        <w:pStyle w:val="ListParagraph"/>
        <w:numPr>
          <w:ilvl w:val="0"/>
          <w:numId w:val="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Contexte et commanditaire</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(qui, pourquoi)</w:t>
      </w:r>
    </w:p>
    <w:p w:rsidR="36303A16" w:rsidP="097C9638" w:rsidRDefault="36303A16" w14:paraId="70AF8D60" w14:textId="40394D1A">
      <w:pPr>
        <w:pStyle w:val="ListParagraph"/>
        <w:numPr>
          <w:ilvl w:val="0"/>
          <w:numId w:val="2"/>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Objectif principal</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et </w:t>
      </w:r>
      <w:r w:rsidRPr="097C9638" w:rsidR="36303A16">
        <w:rPr>
          <w:rFonts w:ascii="system-ui" w:hAnsi="system-ui" w:eastAsia="system-ui" w:cs="system-ui"/>
          <w:b w:val="1"/>
          <w:bCs w:val="1"/>
          <w:i w:val="0"/>
          <w:iCs w:val="0"/>
          <w:caps w:val="0"/>
          <w:smallCaps w:val="0"/>
          <w:noProof w:val="0"/>
          <w:color w:val="0F1115"/>
          <w:sz w:val="24"/>
          <w:szCs w:val="24"/>
          <w:lang w:val="fr-FR"/>
        </w:rPr>
        <w:t>objectifs secondaires</w:t>
      </w:r>
    </w:p>
    <w:p w:rsidR="36303A16" w:rsidP="097C9638" w:rsidRDefault="36303A16" w14:paraId="52617C16" w14:textId="0580280F">
      <w:pPr>
        <w:pStyle w:val="ListParagraph"/>
        <w:numPr>
          <w:ilvl w:val="0"/>
          <w:numId w:val="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Périmètre géographique</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(France métropolitaine / régions spécifiques de Colombie)</w:t>
      </w:r>
    </w:p>
    <w:p w:rsidR="36303A16" w:rsidP="097C9638" w:rsidRDefault="36303A16" w14:paraId="27909505" w14:textId="6EB4F349">
      <w:pPr>
        <w:pStyle w:val="ListParagraph"/>
        <w:numPr>
          <w:ilvl w:val="0"/>
          <w:numId w:val="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Cibles visées</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(B2B, B2C, segments précis)</w:t>
      </w:r>
    </w:p>
    <w:p w:rsidR="36303A16" w:rsidP="097C9638" w:rsidRDefault="36303A16" w14:paraId="68ED5DCB" w14:textId="26D6565D">
      <w:pPr>
        <w:pStyle w:val="Heading3"/>
        <w:shd w:val="clear" w:color="auto" w:fill="FFFFFF" w:themeFill="background1"/>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2. Synthèse exécutive (à rédiger en dernier)</w:t>
      </w:r>
    </w:p>
    <w:p w:rsidR="36303A16" w:rsidP="097C9638" w:rsidRDefault="36303A16" w14:paraId="4FBD89BE" w14:textId="61E2AFBD">
      <w:pPr>
        <w:pStyle w:val="ListParagraph"/>
        <w:numPr>
          <w:ilvl w:val="0"/>
          <w:numId w:val="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Problématique, méthodologie, principaux résultats, recommandations clés</w:t>
      </w:r>
    </w:p>
    <w:p w:rsidR="36303A16" w:rsidP="097C9638" w:rsidRDefault="36303A16" w14:paraId="66B2275B" w14:textId="24E6F427">
      <w:pPr>
        <w:pStyle w:val="Heading3"/>
        <w:shd w:val="clear" w:color="auto" w:fill="FFFFFF" w:themeFill="background1"/>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3. Revue documentaire – données secondaires</w:t>
      </w:r>
    </w:p>
    <w:p w:rsidR="36303A16" w:rsidP="097C9638" w:rsidRDefault="36303A16" w14:paraId="4E782A56" w14:textId="48079902">
      <w:pPr>
        <w:shd w:val="clear" w:color="auto" w:fill="FFFFFF" w:themeFill="background1"/>
        <w:spacing w:before="240" w:beforeAutospacing="off" w:after="240" w:afterAutospacing="off"/>
      </w:pPr>
      <w:r w:rsidRPr="097C9638" w:rsidR="36303A16">
        <w:rPr>
          <w:rFonts w:ascii="system-ui" w:hAnsi="system-ui" w:eastAsia="system-ui" w:cs="system-ui"/>
          <w:b w:val="0"/>
          <w:bCs w:val="0"/>
          <w:i w:val="1"/>
          <w:iCs w:val="1"/>
          <w:caps w:val="0"/>
          <w:smallCaps w:val="0"/>
          <w:noProof w:val="0"/>
          <w:color w:val="0F1115"/>
          <w:sz w:val="24"/>
          <w:szCs w:val="24"/>
          <w:lang w:val="fr-FR"/>
        </w:rPr>
        <w:t>Ces données seront utilisées dans les deux pays, mais leur poids et disponibilité diffèrent.</w:t>
      </w:r>
    </w:p>
    <w:tbl>
      <w:tblPr>
        <w:tblStyle w:val="TableNormal"/>
        <w:bidiVisual w:val="0"/>
        <w:tblW w:w="0" w:type="auto"/>
        <w:tblInd w:w="-345" w:type="dxa"/>
        <w:tblLook w:val="06A0" w:firstRow="1" w:lastRow="0" w:firstColumn="1" w:lastColumn="0" w:noHBand="1" w:noVBand="1"/>
      </w:tblPr>
      <w:tblGrid>
        <w:gridCol w:w="4303"/>
        <w:gridCol w:w="6497"/>
      </w:tblGrid>
      <w:tr w:rsidR="097C9638" w:rsidTr="097C9638" w14:paraId="4FE4C349">
        <w:trPr>
          <w:trHeight w:val="300"/>
        </w:trPr>
        <w:tc>
          <w:tcPr>
            <w:tcW w:w="4303" w:type="dxa"/>
            <w:tcBorders>
              <w:top w:val="nil"/>
              <w:bottom w:val="single" w:sz="6"/>
            </w:tcBorders>
            <w:tcMar>
              <w:top w:w="150" w:type="dxa"/>
              <w:bottom w:w="150" w:type="dxa"/>
              <w:right w:w="240" w:type="dxa"/>
            </w:tcMar>
            <w:vAlign w:val="center"/>
          </w:tcPr>
          <w:p w:rsidR="097C9638" w:rsidP="097C9638" w:rsidRDefault="097C9638" w14:paraId="32569545" w14:textId="0A513352">
            <w:pPr>
              <w:shd w:val="clear" w:color="auto" w:fill="FFFFFF" w:themeFill="background1"/>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Thème</w:t>
            </w:r>
          </w:p>
        </w:tc>
        <w:tc>
          <w:tcPr>
            <w:tcW w:w="6497" w:type="dxa"/>
            <w:tcBorders>
              <w:top w:val="nil"/>
              <w:bottom w:val="single" w:sz="6"/>
            </w:tcBorders>
            <w:tcMar>
              <w:top w:w="150" w:type="dxa"/>
              <w:left w:w="240" w:type="dxa"/>
              <w:bottom w:w="150" w:type="dxa"/>
              <w:right w:w="240" w:type="dxa"/>
            </w:tcMar>
            <w:vAlign w:val="center"/>
          </w:tcPr>
          <w:p w:rsidR="097C9638" w:rsidP="097C9638" w:rsidRDefault="097C9638" w14:paraId="1DB92543" w14:textId="0FDB425F">
            <w:pPr>
              <w:shd w:val="clear" w:color="auto" w:fill="FFFFFF" w:themeFill="background1"/>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Données à collecter</w:t>
            </w:r>
          </w:p>
        </w:tc>
      </w:tr>
      <w:tr w:rsidR="097C9638" w:rsidTr="097C9638" w14:paraId="189ED81F">
        <w:trPr>
          <w:trHeight w:val="300"/>
        </w:trPr>
        <w:tc>
          <w:tcPr>
            <w:tcW w:w="4303" w:type="dxa"/>
            <w:tcBorders>
              <w:bottom w:val="single" w:sz="6"/>
            </w:tcBorders>
            <w:tcMar>
              <w:top w:w="150" w:type="dxa"/>
              <w:bottom w:w="150" w:type="dxa"/>
              <w:right w:w="240" w:type="dxa"/>
            </w:tcMar>
            <w:vAlign w:val="center"/>
          </w:tcPr>
          <w:p w:rsidR="097C9638" w:rsidP="097C9638" w:rsidRDefault="097C9638" w14:paraId="7A74E032" w14:textId="06DD8C3C">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Économie &amp; marché</w:t>
            </w:r>
          </w:p>
        </w:tc>
        <w:tc>
          <w:tcPr>
            <w:tcW w:w="6497" w:type="dxa"/>
            <w:tcBorders>
              <w:bottom w:val="single" w:sz="6"/>
            </w:tcBorders>
            <w:tcMar>
              <w:top w:w="150" w:type="dxa"/>
              <w:left w:w="240" w:type="dxa"/>
              <w:bottom w:w="150" w:type="dxa"/>
            </w:tcMar>
            <w:vAlign w:val="center"/>
          </w:tcPr>
          <w:p w:rsidR="097C9638" w:rsidP="097C9638" w:rsidRDefault="097C9638" w14:paraId="3CB39333" w14:textId="0CBD94CE">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PIB, revenu moyen, inflation, consommation des ménages, secteurs porteurs</w:t>
            </w:r>
          </w:p>
        </w:tc>
      </w:tr>
      <w:tr w:rsidR="097C9638" w:rsidTr="097C9638" w14:paraId="06D0759D">
        <w:trPr>
          <w:trHeight w:val="300"/>
        </w:trPr>
        <w:tc>
          <w:tcPr>
            <w:tcW w:w="4303" w:type="dxa"/>
            <w:tcBorders>
              <w:bottom w:val="single" w:sz="6"/>
            </w:tcBorders>
            <w:tcMar>
              <w:top w:w="150" w:type="dxa"/>
              <w:bottom w:w="150" w:type="dxa"/>
              <w:right w:w="240" w:type="dxa"/>
            </w:tcMar>
            <w:vAlign w:val="center"/>
          </w:tcPr>
          <w:p w:rsidR="097C9638" w:rsidP="097C9638" w:rsidRDefault="097C9638" w14:paraId="5A864F11" w14:textId="17286E8A">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Démographie</w:t>
            </w:r>
          </w:p>
        </w:tc>
        <w:tc>
          <w:tcPr>
            <w:tcW w:w="6497" w:type="dxa"/>
            <w:tcBorders>
              <w:bottom w:val="single" w:sz="6"/>
            </w:tcBorders>
            <w:tcMar>
              <w:top w:w="150" w:type="dxa"/>
              <w:left w:w="240" w:type="dxa"/>
              <w:bottom w:w="150" w:type="dxa"/>
            </w:tcMar>
            <w:vAlign w:val="center"/>
          </w:tcPr>
          <w:p w:rsidR="097C9638" w:rsidP="097C9638" w:rsidRDefault="097C9638" w14:paraId="7EEC8426" w14:textId="1CDB5F93">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Pyramide des âges, répartition urbain/rural, taux de connectivité internet</w:t>
            </w:r>
          </w:p>
        </w:tc>
      </w:tr>
      <w:tr w:rsidR="097C9638" w:rsidTr="097C9638" w14:paraId="797CFBE9">
        <w:trPr>
          <w:trHeight w:val="300"/>
        </w:trPr>
        <w:tc>
          <w:tcPr>
            <w:tcW w:w="4303" w:type="dxa"/>
            <w:tcBorders>
              <w:bottom w:val="single" w:sz="6"/>
            </w:tcBorders>
            <w:tcMar>
              <w:top w:w="150" w:type="dxa"/>
              <w:bottom w:w="150" w:type="dxa"/>
              <w:right w:w="240" w:type="dxa"/>
            </w:tcMar>
            <w:vAlign w:val="center"/>
          </w:tcPr>
          <w:p w:rsidR="097C9638" w:rsidP="097C9638" w:rsidRDefault="097C9638" w14:paraId="323E0F19" w14:textId="08F3750C">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Réglementation</w:t>
            </w:r>
          </w:p>
        </w:tc>
        <w:tc>
          <w:tcPr>
            <w:tcW w:w="6497" w:type="dxa"/>
            <w:tcBorders>
              <w:bottom w:val="single" w:sz="6"/>
            </w:tcBorders>
            <w:tcMar>
              <w:top w:w="150" w:type="dxa"/>
              <w:left w:w="240" w:type="dxa"/>
              <w:bottom w:w="150" w:type="dxa"/>
            </w:tcMar>
            <w:vAlign w:val="center"/>
          </w:tcPr>
          <w:p w:rsidR="097C9638" w:rsidP="097C9638" w:rsidRDefault="097C9638" w14:paraId="582E86F4" w14:textId="36505F60">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Lois sur la concurrence, protection des données (RGPD en France / Loi 1581 en Colombie), barrières à l’entrée</w:t>
            </w:r>
          </w:p>
        </w:tc>
      </w:tr>
      <w:tr w:rsidR="097C9638" w:rsidTr="097C9638" w14:paraId="5CCAE766">
        <w:trPr>
          <w:trHeight w:val="300"/>
        </w:trPr>
        <w:tc>
          <w:tcPr>
            <w:tcW w:w="4303" w:type="dxa"/>
            <w:tcBorders>
              <w:bottom w:val="single" w:sz="6"/>
            </w:tcBorders>
            <w:tcMar>
              <w:top w:w="150" w:type="dxa"/>
              <w:bottom w:w="150" w:type="dxa"/>
              <w:right w:w="240" w:type="dxa"/>
            </w:tcMar>
            <w:vAlign w:val="center"/>
          </w:tcPr>
          <w:p w:rsidR="097C9638" w:rsidP="097C9638" w:rsidRDefault="097C9638" w14:paraId="078E4CEE" w14:textId="09B4FC90">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Concurrence</w:t>
            </w:r>
          </w:p>
        </w:tc>
        <w:tc>
          <w:tcPr>
            <w:tcW w:w="6497" w:type="dxa"/>
            <w:tcBorders>
              <w:bottom w:val="single" w:sz="6"/>
            </w:tcBorders>
            <w:tcMar>
              <w:top w:w="150" w:type="dxa"/>
              <w:left w:w="240" w:type="dxa"/>
              <w:bottom w:w="150" w:type="dxa"/>
            </w:tcMar>
            <w:vAlign w:val="center"/>
          </w:tcPr>
          <w:p w:rsidR="097C9638" w:rsidP="097C9638" w:rsidRDefault="097C9638" w14:paraId="2932E422" w14:textId="3BFA4454">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Acteurs principaux, parts de marché, prix pratiqués, canaux de distribution</w:t>
            </w:r>
          </w:p>
        </w:tc>
      </w:tr>
      <w:tr w:rsidR="097C9638" w:rsidTr="097C9638" w14:paraId="21C9E67F">
        <w:trPr>
          <w:trHeight w:val="300"/>
        </w:trPr>
        <w:tc>
          <w:tcPr>
            <w:tcW w:w="4303" w:type="dxa"/>
            <w:tcBorders>
              <w:bottom w:val="single" w:sz="6"/>
            </w:tcBorders>
            <w:tcMar>
              <w:top w:w="150" w:type="dxa"/>
              <w:bottom w:w="150" w:type="dxa"/>
              <w:right w:w="240" w:type="dxa"/>
            </w:tcMar>
            <w:vAlign w:val="center"/>
          </w:tcPr>
          <w:p w:rsidR="097C9638" w:rsidP="097C9638" w:rsidRDefault="097C9638" w14:paraId="1654E4C0" w14:textId="41E975A4">
            <w:pPr>
              <w:shd w:val="clear" w:color="auto" w:fill="FFFFFF" w:themeFill="background1"/>
              <w:spacing w:before="0" w:beforeAutospacing="off" w:after="0" w:afterAutospacing="off" w:line="375" w:lineRule="auto"/>
            </w:pPr>
            <w:r w:rsidRPr="097C9638" w:rsidR="097C9638">
              <w:rPr>
                <w:rFonts w:ascii="system-ui" w:hAnsi="system-ui" w:eastAsia="system-ui" w:cs="system-ui"/>
                <w:b w:val="1"/>
                <w:bCs w:val="1"/>
                <w:i w:val="0"/>
                <w:iCs w:val="0"/>
                <w:sz w:val="22"/>
                <w:szCs w:val="22"/>
              </w:rPr>
              <w:t>Comportement consommateur</w:t>
            </w:r>
          </w:p>
        </w:tc>
        <w:tc>
          <w:tcPr>
            <w:tcW w:w="6497" w:type="dxa"/>
            <w:tcBorders>
              <w:bottom w:val="single" w:sz="6"/>
            </w:tcBorders>
            <w:tcMar>
              <w:top w:w="150" w:type="dxa"/>
              <w:left w:w="240" w:type="dxa"/>
              <w:bottom w:w="150" w:type="dxa"/>
            </w:tcMar>
            <w:vAlign w:val="center"/>
          </w:tcPr>
          <w:p w:rsidR="097C9638" w:rsidP="097C9638" w:rsidRDefault="097C9638" w14:paraId="7D35D1D4" w14:textId="77A4334C">
            <w:pPr>
              <w:shd w:val="clear" w:color="auto" w:fill="FFFFFF" w:themeFill="background1"/>
              <w:spacing w:before="0" w:beforeAutospacing="off" w:after="0" w:afterAutospacing="off" w:line="375" w:lineRule="auto"/>
            </w:pPr>
            <w:r w:rsidRPr="097C9638" w:rsidR="097C9638">
              <w:rPr>
                <w:rFonts w:ascii="system-ui" w:hAnsi="system-ui" w:eastAsia="system-ui" w:cs="system-ui"/>
                <w:b w:val="0"/>
                <w:bCs w:val="0"/>
                <w:i w:val="0"/>
                <w:iCs w:val="0"/>
                <w:sz w:val="22"/>
                <w:szCs w:val="22"/>
              </w:rPr>
              <w:t>Habitudes d’achat, critères de décision, influence des réseaux sociaux, informalité</w:t>
            </w:r>
          </w:p>
        </w:tc>
      </w:tr>
    </w:tbl>
    <w:p w:rsidR="36303A16" w:rsidP="097C9638" w:rsidRDefault="36303A16" w14:paraId="1D24FE53" w14:textId="7E44DEF5">
      <w:pPr>
        <w:shd w:val="clear" w:color="auto" w:fill="FFFFFF" w:themeFill="background1"/>
        <w:bidi w:val="0"/>
        <w:spacing w:before="240" w:beforeAutospacing="off" w:after="240" w:afterAutospacing="off"/>
      </w:pPr>
      <w:r w:rsidRPr="097C9638" w:rsidR="36303A16">
        <w:rPr>
          <w:rFonts w:ascii="system-ui" w:hAnsi="system-ui" w:eastAsia="system-ui" w:cs="system-ui"/>
          <w:b w:val="1"/>
          <w:bCs w:val="1"/>
          <w:i w:val="0"/>
          <w:iCs w:val="0"/>
          <w:caps w:val="0"/>
          <w:smallCaps w:val="0"/>
          <w:noProof w:val="0"/>
          <w:color w:val="0F1115"/>
          <w:sz w:val="24"/>
          <w:szCs w:val="24"/>
          <w:lang w:val="fr-FR"/>
        </w:rPr>
        <w:t>Sources France</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INSEE, DGE, Credoc, panel Kantar, Xerfi</w:t>
      </w:r>
      <w:r>
        <w:br/>
      </w:r>
      <w:r w:rsidRPr="097C9638" w:rsidR="36303A16">
        <w:rPr>
          <w:rFonts w:ascii="system-ui" w:hAnsi="system-ui" w:eastAsia="system-ui" w:cs="system-ui"/>
          <w:b w:val="1"/>
          <w:bCs w:val="1"/>
          <w:i w:val="0"/>
          <w:iCs w:val="0"/>
          <w:caps w:val="0"/>
          <w:smallCaps w:val="0"/>
          <w:noProof w:val="0"/>
          <w:color w:val="0F1115"/>
          <w:sz w:val="24"/>
          <w:szCs w:val="24"/>
          <w:lang w:val="fr-FR"/>
        </w:rPr>
        <w:t>Sources Colombie</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DANE, Banco de la República, Fenalco, ANDI, greffes de chambres de commerce</w:t>
      </w:r>
    </w:p>
    <w:p w:rsidR="36303A16" w:rsidP="097C9638" w:rsidRDefault="36303A16" w14:paraId="70D96F86" w14:textId="0355BE97">
      <w:pPr>
        <w:pStyle w:val="Heading3"/>
        <w:shd w:val="clear" w:color="auto" w:fill="FFFFFF" w:themeFill="background1"/>
        <w:bidi w:val="0"/>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4. Méthodologie primaire (collecte de terrain)</w:t>
      </w:r>
    </w:p>
    <w:p w:rsidR="36303A16" w:rsidP="097C9638" w:rsidRDefault="36303A16" w14:paraId="13882D54" w14:textId="5BFFBF0A">
      <w:pPr>
        <w:pStyle w:val="Heading4"/>
        <w:shd w:val="clear" w:color="auto" w:fill="FFFFFF" w:themeFill="background1"/>
        <w:bidi w:val="0"/>
        <w:spacing w:before="240" w:beforeAutospacing="off" w:after="120" w:afterAutospacing="off" w:line="420" w:lineRule="auto"/>
      </w:pPr>
      <w:r w:rsidRPr="097C9638" w:rsidR="36303A16">
        <w:rPr>
          <w:rFonts w:ascii="system-ui" w:hAnsi="system-ui" w:eastAsia="system-ui" w:cs="system-ui"/>
          <w:b w:val="1"/>
          <w:bCs w:val="1"/>
          <w:i w:val="0"/>
          <w:iCs w:val="0"/>
          <w:caps w:val="0"/>
          <w:smallCaps w:val="0"/>
          <w:noProof w:val="0"/>
          <w:color w:val="0F1115"/>
          <w:sz w:val="24"/>
          <w:szCs w:val="24"/>
          <w:lang w:val="fr-FR"/>
        </w:rPr>
        <w:t>4.1. Approche générale</w:t>
      </w:r>
    </w:p>
    <w:p w:rsidR="36303A16" w:rsidP="097C9638" w:rsidRDefault="36303A16" w14:paraId="66C6E999" w14:textId="305478A9">
      <w:pPr>
        <w:pStyle w:val="ListParagraph"/>
        <w:numPr>
          <w:ilvl w:val="0"/>
          <w:numId w:val="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Mix quanti + quali</w:t>
      </w:r>
    </w:p>
    <w:p w:rsidR="36303A16" w:rsidP="097C9638" w:rsidRDefault="36303A16" w14:paraId="4483F985" w14:textId="313DF61E">
      <w:pPr>
        <w:pStyle w:val="ListParagraph"/>
        <w:numPr>
          <w:ilvl w:val="0"/>
          <w:numId w:val="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Échantillon : taille, quotas (âge, sexe, région, CSP), mode de recrutement</w:t>
      </w:r>
    </w:p>
    <w:p w:rsidR="36303A16" w:rsidP="097C9638" w:rsidRDefault="36303A16" w14:paraId="71295BCE" w14:textId="47801D83">
      <w:pPr>
        <w:pStyle w:val="Heading4"/>
        <w:shd w:val="clear" w:color="auto" w:fill="FFFFFF" w:themeFill="background1"/>
        <w:bidi w:val="0"/>
        <w:spacing w:before="240" w:beforeAutospacing="off" w:after="120" w:afterAutospacing="off" w:line="420" w:lineRule="auto"/>
      </w:pPr>
      <w:r w:rsidRPr="097C9638" w:rsidR="36303A16">
        <w:rPr>
          <w:rFonts w:ascii="system-ui" w:hAnsi="system-ui" w:eastAsia="system-ui" w:cs="system-ui"/>
          <w:b w:val="1"/>
          <w:bCs w:val="1"/>
          <w:i w:val="0"/>
          <w:iCs w:val="0"/>
          <w:caps w:val="0"/>
          <w:smallCaps w:val="0"/>
          <w:noProof w:val="0"/>
          <w:color w:val="0F1115"/>
          <w:sz w:val="24"/>
          <w:szCs w:val="24"/>
          <w:lang w:val="fr-FR"/>
        </w:rPr>
        <w:t>4.2. Spécificités France</w:t>
      </w:r>
    </w:p>
    <w:p w:rsidR="36303A16" w:rsidP="097C9638" w:rsidRDefault="36303A16" w14:paraId="66A45D7B" w14:textId="66D3B8C9">
      <w:pPr>
        <w:pStyle w:val="ListParagraph"/>
        <w:numPr>
          <w:ilvl w:val="0"/>
          <w:numId w:val="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Quantitatif</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enquête en ligne (type CAWI) via panel certifié – cible représentative nationale</w:t>
      </w:r>
    </w:p>
    <w:p w:rsidR="36303A16" w:rsidP="097C9638" w:rsidRDefault="36303A16" w14:paraId="7BEF4DFD" w14:textId="0AF5EF8E">
      <w:pPr>
        <w:pStyle w:val="ListParagraph"/>
        <w:numPr>
          <w:ilvl w:val="0"/>
          <w:numId w:val="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Qualitatif</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2-3 focus groups (grandes villes : Paris, Lyon, Lille) + entretiens experts</w:t>
      </w:r>
    </w:p>
    <w:p w:rsidR="36303A16" w:rsidP="097C9638" w:rsidRDefault="36303A16" w14:paraId="4DE7E27E" w14:textId="1974462D">
      <w:pPr>
        <w:pStyle w:val="ListParagraph"/>
        <w:numPr>
          <w:ilvl w:val="0"/>
          <w:numId w:val="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Calendrier</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3‑4 semaines de collecte</w:t>
      </w:r>
    </w:p>
    <w:p w:rsidR="36303A16" w:rsidP="097C9638" w:rsidRDefault="36303A16" w14:paraId="28DAEB2D" w14:textId="3E4A4F70">
      <w:pPr>
        <w:pStyle w:val="ListParagraph"/>
        <w:numPr>
          <w:ilvl w:val="0"/>
          <w:numId w:val="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Taux de réponse attendu</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25‑30 %</w:t>
      </w:r>
    </w:p>
    <w:p w:rsidR="36303A16" w:rsidP="097C9638" w:rsidRDefault="36303A16" w14:paraId="0DCC19EA" w14:textId="0251CB31">
      <w:pPr>
        <w:pStyle w:val="Heading4"/>
        <w:shd w:val="clear" w:color="auto" w:fill="FFFFFF" w:themeFill="background1"/>
        <w:bidi w:val="0"/>
        <w:spacing w:before="240" w:beforeAutospacing="off" w:after="120" w:afterAutospacing="off" w:line="420" w:lineRule="auto"/>
      </w:pPr>
      <w:r w:rsidRPr="097C9638" w:rsidR="36303A16">
        <w:rPr>
          <w:rFonts w:ascii="system-ui" w:hAnsi="system-ui" w:eastAsia="system-ui" w:cs="system-ui"/>
          <w:b w:val="1"/>
          <w:bCs w:val="1"/>
          <w:i w:val="0"/>
          <w:iCs w:val="0"/>
          <w:caps w:val="0"/>
          <w:smallCaps w:val="0"/>
          <w:noProof w:val="0"/>
          <w:color w:val="0F1115"/>
          <w:sz w:val="24"/>
          <w:szCs w:val="24"/>
          <w:lang w:val="fr-FR"/>
        </w:rPr>
        <w:t>4.3. Spécificités Colombie</w:t>
      </w:r>
    </w:p>
    <w:p w:rsidR="36303A16" w:rsidP="097C9638" w:rsidRDefault="36303A16" w14:paraId="7A3986CD" w14:textId="74700F18">
      <w:pPr>
        <w:pStyle w:val="ListParagraph"/>
        <w:numPr>
          <w:ilvl w:val="0"/>
          <w:numId w:val="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Quantitatif</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mix en ligne + face‑à‑face (zones rurales ou faible connexion) ; utiliser des enquêteurs locaux formés</w:t>
      </w:r>
    </w:p>
    <w:p w:rsidR="36303A16" w:rsidP="097C9638" w:rsidRDefault="36303A16" w14:paraId="2856F1B3" w14:textId="47617AA4">
      <w:pPr>
        <w:pStyle w:val="ListParagraph"/>
        <w:numPr>
          <w:ilvl w:val="0"/>
          <w:numId w:val="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Qualitatif</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entretiens approfondis (hogares, tiendas de barrio) et ateliers communautaires si zone informelle</w:t>
      </w:r>
    </w:p>
    <w:p w:rsidR="36303A16" w:rsidP="097C9638" w:rsidRDefault="36303A16" w14:paraId="61ED83C1" w14:textId="44BA906F">
      <w:pPr>
        <w:pStyle w:val="ListParagraph"/>
        <w:numPr>
          <w:ilvl w:val="0"/>
          <w:numId w:val="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Calendrier</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5‑6 semaines (logistique terrain plus longue)</w:t>
      </w:r>
    </w:p>
    <w:p w:rsidR="36303A16" w:rsidP="097C9638" w:rsidRDefault="36303A16" w14:paraId="11D47E94" w14:textId="2EC534A2">
      <w:pPr>
        <w:pStyle w:val="ListParagraph"/>
        <w:numPr>
          <w:ilvl w:val="0"/>
          <w:numId w:val="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Taux de réponse attendu</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plus variable (15‑20 %), compenser par sur‑échantillonnage</w:t>
      </w:r>
    </w:p>
    <w:p w:rsidR="36303A16" w:rsidP="097C9638" w:rsidRDefault="36303A16" w14:paraId="712BB347" w14:textId="4F6EE8EE">
      <w:pPr>
        <w:pStyle w:val="Heading3"/>
        <w:shd w:val="clear" w:color="auto" w:fill="FFFFFF" w:themeFill="background1"/>
        <w:bidi w:val="0"/>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5. Analyse des données</w:t>
      </w:r>
    </w:p>
    <w:p w:rsidR="36303A16" w:rsidP="097C9638" w:rsidRDefault="36303A16" w14:paraId="5DD9A445" w14:textId="423BE37D">
      <w:pPr>
        <w:pStyle w:val="Heading4"/>
        <w:shd w:val="clear" w:color="auto" w:fill="FFFFFF" w:themeFill="background1"/>
        <w:bidi w:val="0"/>
        <w:spacing w:before="240" w:beforeAutospacing="off" w:after="120" w:afterAutospacing="off" w:line="420" w:lineRule="auto"/>
      </w:pPr>
      <w:r w:rsidRPr="097C9638" w:rsidR="36303A16">
        <w:rPr>
          <w:rFonts w:ascii="system-ui" w:hAnsi="system-ui" w:eastAsia="system-ui" w:cs="system-ui"/>
          <w:b w:val="1"/>
          <w:bCs w:val="1"/>
          <w:i w:val="0"/>
          <w:iCs w:val="0"/>
          <w:caps w:val="0"/>
          <w:smallCaps w:val="0"/>
          <w:noProof w:val="0"/>
          <w:color w:val="0F1115"/>
          <w:sz w:val="24"/>
          <w:szCs w:val="24"/>
          <w:lang w:val="fr-FR"/>
        </w:rPr>
        <w:t>5.1. Analyses transversales (France &amp; Colombie)</w:t>
      </w:r>
    </w:p>
    <w:p w:rsidR="36303A16" w:rsidP="097C9638" w:rsidRDefault="36303A16" w14:paraId="145F33D3" w14:textId="21A14E0A">
      <w:pPr>
        <w:pStyle w:val="ListParagraph"/>
        <w:numPr>
          <w:ilvl w:val="0"/>
          <w:numId w:val="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Segmentation clientèle (typologie par besoins / âge / revenu)</w:t>
      </w:r>
    </w:p>
    <w:p w:rsidR="36303A16" w:rsidP="097C9638" w:rsidRDefault="36303A16" w14:paraId="72ADF187" w14:textId="748B0368">
      <w:pPr>
        <w:pStyle w:val="ListParagraph"/>
        <w:numPr>
          <w:ilvl w:val="0"/>
          <w:numId w:val="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Cartographie concurrentielle (positionnement prix, image)</w:t>
      </w:r>
    </w:p>
    <w:p w:rsidR="36303A16" w:rsidP="097C9638" w:rsidRDefault="36303A16" w14:paraId="0DAE64EF" w14:textId="50B9EA71">
      <w:pPr>
        <w:pStyle w:val="ListParagraph"/>
        <w:numPr>
          <w:ilvl w:val="0"/>
          <w:numId w:val="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Matrice SWOT (Forces, Faiblesses, Opportunités, Menaces)</w:t>
      </w:r>
    </w:p>
    <w:p w:rsidR="36303A16" w:rsidP="097C9638" w:rsidRDefault="36303A16" w14:paraId="49A754E6" w14:textId="755FA6F8">
      <w:pPr>
        <w:pStyle w:val="ListParagraph"/>
        <w:numPr>
          <w:ilvl w:val="0"/>
          <w:numId w:val="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PESTEL adapté à chaque pays</w:t>
      </w:r>
    </w:p>
    <w:p w:rsidR="36303A16" w:rsidP="097C9638" w:rsidRDefault="36303A16" w14:paraId="3F95238D" w14:textId="4250D51F">
      <w:pPr>
        <w:pStyle w:val="Heading4"/>
        <w:shd w:val="clear" w:color="auto" w:fill="FFFFFF" w:themeFill="background1"/>
        <w:bidi w:val="0"/>
        <w:spacing w:before="240" w:beforeAutospacing="off" w:after="120" w:afterAutospacing="off" w:line="420" w:lineRule="auto"/>
      </w:pPr>
      <w:r w:rsidRPr="097C9638" w:rsidR="36303A16">
        <w:rPr>
          <w:rFonts w:ascii="system-ui" w:hAnsi="system-ui" w:eastAsia="system-ui" w:cs="system-ui"/>
          <w:b w:val="1"/>
          <w:bCs w:val="1"/>
          <w:i w:val="0"/>
          <w:iCs w:val="0"/>
          <w:caps w:val="0"/>
          <w:smallCaps w:val="0"/>
          <w:noProof w:val="0"/>
          <w:color w:val="0F1115"/>
          <w:sz w:val="24"/>
          <w:szCs w:val="24"/>
          <w:lang w:val="fr-FR"/>
        </w:rPr>
        <w:t>5.2. Analyses spécifiques à la Colombie</w:t>
      </w:r>
    </w:p>
    <w:p w:rsidR="36303A16" w:rsidP="097C9638" w:rsidRDefault="36303A16" w14:paraId="6D07576E" w14:textId="5B13538A">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Découpage </w:t>
      </w:r>
      <w:r w:rsidRPr="097C9638" w:rsidR="36303A16">
        <w:rPr>
          <w:rFonts w:ascii="system-ui" w:hAnsi="system-ui" w:eastAsia="system-ui" w:cs="system-ui"/>
          <w:b w:val="1"/>
          <w:bCs w:val="1"/>
          <w:i w:val="0"/>
          <w:iCs w:val="0"/>
          <w:caps w:val="0"/>
          <w:smallCaps w:val="0"/>
          <w:noProof w:val="0"/>
          <w:color w:val="0F1115"/>
          <w:sz w:val="24"/>
          <w:szCs w:val="24"/>
          <w:lang w:val="fr-FR"/>
        </w:rPr>
        <w:t>par régions naturelles</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(Andine, Caraïbe, Pacifique, Amazonie, Orénoquie)</w:t>
      </w:r>
    </w:p>
    <w:p w:rsidR="36303A16" w:rsidP="097C9638" w:rsidRDefault="36303A16" w14:paraId="05501D77" w14:textId="05311ED8">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Prise en compte de </w:t>
      </w:r>
      <w:r w:rsidRPr="097C9638" w:rsidR="36303A16">
        <w:rPr>
          <w:rFonts w:ascii="system-ui" w:hAnsi="system-ui" w:eastAsia="system-ui" w:cs="system-ui"/>
          <w:b w:val="1"/>
          <w:bCs w:val="1"/>
          <w:i w:val="0"/>
          <w:iCs w:val="0"/>
          <w:caps w:val="0"/>
          <w:smallCaps w:val="0"/>
          <w:noProof w:val="0"/>
          <w:color w:val="0F1115"/>
          <w:sz w:val="24"/>
          <w:szCs w:val="24"/>
          <w:lang w:val="fr-FR"/>
        </w:rPr>
        <w:t>l’informalité</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(prix de rue, modes de paiement non bancarisés)</w:t>
      </w:r>
    </w:p>
    <w:p w:rsidR="36303A16" w:rsidP="097C9638" w:rsidRDefault="36303A16" w14:paraId="7243C258" w14:textId="72BB31A4">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Analyse des </w:t>
      </w:r>
      <w:r w:rsidRPr="097C9638" w:rsidR="36303A16">
        <w:rPr>
          <w:rFonts w:ascii="system-ui" w:hAnsi="system-ui" w:eastAsia="system-ui" w:cs="system-ui"/>
          <w:b w:val="1"/>
          <w:bCs w:val="1"/>
          <w:i w:val="0"/>
          <w:iCs w:val="0"/>
          <w:caps w:val="0"/>
          <w:smallCaps w:val="0"/>
          <w:noProof w:val="0"/>
          <w:color w:val="0F1115"/>
          <w:sz w:val="24"/>
          <w:szCs w:val="24"/>
          <w:lang w:val="fr-FR"/>
        </w:rPr>
        <w:t>risques juridiques / sécurité</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(instabilité politique, corruption, délais douaniers)</w:t>
      </w:r>
    </w:p>
    <w:p w:rsidR="36303A16" w:rsidP="097C9638" w:rsidRDefault="36303A16" w14:paraId="7C8A6F0C" w14:textId="6449E237">
      <w:pPr>
        <w:pStyle w:val="Heading3"/>
        <w:shd w:val="clear" w:color="auto" w:fill="FFFFFF" w:themeFill="background1"/>
        <w:bidi w:val="0"/>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6. Résultats principaux (faits chiffrés, verbatims, cartes)</w:t>
      </w:r>
    </w:p>
    <w:p w:rsidR="36303A16" w:rsidP="097C9638" w:rsidRDefault="36303A16" w14:paraId="12AD133C" w14:textId="3A16ED0B">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Tableaux croisés, graphiques, extraits d’entretiens</w:t>
      </w:r>
    </w:p>
    <w:p w:rsidR="36303A16" w:rsidP="097C9638" w:rsidRDefault="36303A16" w14:paraId="122F7868" w14:textId="7DDB4789">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Indicateurs clés : notoriété, intention d’achat, sensibilité au prix, canaux préférés</w:t>
      </w:r>
    </w:p>
    <w:p w:rsidR="36303A16" w:rsidP="097C9638" w:rsidRDefault="36303A16" w14:paraId="056ADC2B" w14:textId="124AE4ED">
      <w:pPr>
        <w:pStyle w:val="Heading3"/>
        <w:shd w:val="clear" w:color="auto" w:fill="FFFFFF" w:themeFill="background1"/>
        <w:bidi w:val="0"/>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7. Recommandations stratégiques</w:t>
      </w:r>
    </w:p>
    <w:p w:rsidR="36303A16" w:rsidP="097C9638" w:rsidRDefault="36303A16" w14:paraId="0296200A" w14:textId="25E6EB47">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Positionnement</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produit / prix / distribution / communication</w:t>
      </w:r>
    </w:p>
    <w:p w:rsidR="36303A16" w:rsidP="097C9638" w:rsidRDefault="36303A16" w14:paraId="1965B957" w14:textId="248D26A1">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Adaptations locales</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 packaging, messagerie, alliances avec distributeurs locaux</w:t>
      </w:r>
    </w:p>
    <w:p w:rsidR="36303A16" w:rsidP="097C9638" w:rsidRDefault="36303A16" w14:paraId="7C761555" w14:textId="779040CA">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1"/>
          <w:bCs w:val="1"/>
          <w:i w:val="0"/>
          <w:iCs w:val="0"/>
          <w:caps w:val="0"/>
          <w:smallCaps w:val="0"/>
          <w:noProof w:val="0"/>
          <w:color w:val="0F1115"/>
          <w:sz w:val="24"/>
          <w:szCs w:val="24"/>
          <w:lang w:val="fr-FR"/>
        </w:rPr>
        <w:t>Feuille de route</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d’entrée sur le marché (pilote puis déploiement)</w:t>
      </w:r>
    </w:p>
    <w:p w:rsidR="36303A16" w:rsidP="097C9638" w:rsidRDefault="36303A16" w14:paraId="472E7702" w14:textId="1A63DFB5">
      <w:pPr>
        <w:pStyle w:val="Heading3"/>
        <w:shd w:val="clear" w:color="auto" w:fill="FFFFFF" w:themeFill="background1"/>
        <w:bidi w:val="0"/>
        <w:spacing w:before="480" w:beforeAutospacing="off" w:after="240" w:afterAutospacing="off" w:line="450" w:lineRule="auto"/>
      </w:pPr>
      <w:r w:rsidRPr="097C9638" w:rsidR="36303A16">
        <w:rPr>
          <w:rFonts w:ascii="system-ui" w:hAnsi="system-ui" w:eastAsia="system-ui" w:cs="system-ui"/>
          <w:b w:val="1"/>
          <w:bCs w:val="1"/>
          <w:i w:val="0"/>
          <w:iCs w:val="0"/>
          <w:caps w:val="0"/>
          <w:smallCaps w:val="0"/>
          <w:noProof w:val="0"/>
          <w:color w:val="0F1115"/>
          <w:sz w:val="30"/>
          <w:szCs w:val="30"/>
          <w:lang w:val="fr-FR"/>
        </w:rPr>
        <w:t>8. Annexes techniques</w:t>
      </w:r>
    </w:p>
    <w:p w:rsidR="36303A16" w:rsidP="097C9638" w:rsidRDefault="36303A16" w14:paraId="1254A4F4" w14:textId="15857A77">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Questionnaire (version France et version Colombie – adapter langue et échelles)</w:t>
      </w:r>
    </w:p>
    <w:p w:rsidR="36303A16" w:rsidP="097C9638" w:rsidRDefault="36303A16" w14:paraId="7DB93EAB" w14:textId="5057DBAE">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Grilles d’entretien</w:t>
      </w:r>
    </w:p>
    <w:p w:rsidR="36303A16" w:rsidP="097C9638" w:rsidRDefault="36303A16" w14:paraId="2E7FBA49" w14:textId="76A8005F">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Détail de l’échantillonnage, marges d’erreur</w:t>
      </w:r>
    </w:p>
    <w:p w:rsidR="36303A16" w:rsidP="097C9638" w:rsidRDefault="36303A16" w14:paraId="1D4D41A7" w14:textId="4CC0C574">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Consentements et conformité RGPD / Loi 1581</w:t>
      </w:r>
    </w:p>
    <w:p w:rsidR="097C9638" w:rsidRDefault="097C9638" w14:paraId="64D27A5B" w14:textId="54063B78"/>
    <w:p w:rsidR="36303A16" w:rsidP="097C9638" w:rsidRDefault="36303A16" w14:paraId="178DF466" w14:textId="7F8564A8">
      <w:pPr>
        <w:pStyle w:val="Heading2"/>
        <w:shd w:val="clear" w:color="auto" w:fill="FFFFFF" w:themeFill="background1"/>
        <w:bidi w:val="0"/>
        <w:spacing w:before="480" w:beforeAutospacing="off" w:after="240" w:afterAutospacing="off" w:line="480" w:lineRule="auto"/>
      </w:pPr>
      <w:r w:rsidRPr="097C9638" w:rsidR="36303A16">
        <w:rPr>
          <w:rFonts w:ascii="system-ui" w:hAnsi="system-ui" w:eastAsia="system-ui" w:cs="system-ui"/>
          <w:b w:val="1"/>
          <w:bCs w:val="1"/>
          <w:i w:val="0"/>
          <w:iCs w:val="0"/>
          <w:caps w:val="0"/>
          <w:smallCaps w:val="0"/>
          <w:noProof w:val="0"/>
          <w:color w:val="0F1115"/>
          <w:sz w:val="33"/>
          <w:szCs w:val="33"/>
          <w:lang w:val="fr-FR"/>
        </w:rPr>
        <w:t>🎯 Comment utiliser ce plan pour créer deux présentations distinctes ?</w:t>
      </w:r>
    </w:p>
    <w:tbl>
      <w:tblPr>
        <w:tblStyle w:val="TableNormal"/>
        <w:bidiVisual w:val="0"/>
        <w:tblW w:w="0" w:type="auto"/>
        <w:tblLook w:val="06A0" w:firstRow="1" w:lastRow="0" w:firstColumn="1" w:lastColumn="0" w:noHBand="1" w:noVBand="1"/>
      </w:tblPr>
      <w:tblGrid>
        <w:gridCol w:w="1640"/>
        <w:gridCol w:w="4340"/>
        <w:gridCol w:w="4340"/>
      </w:tblGrid>
      <w:tr w:rsidR="097C9638" w:rsidTr="097C9638" w14:paraId="7C1974B7">
        <w:trPr>
          <w:trHeight w:val="300"/>
        </w:trPr>
        <w:tc>
          <w:tcPr>
            <w:tcW w:w="1640" w:type="dxa"/>
            <w:tcBorders>
              <w:top w:val="nil"/>
              <w:bottom w:val="single" w:sz="6"/>
            </w:tcBorders>
            <w:tcMar>
              <w:top w:w="150" w:type="dxa"/>
              <w:bottom w:w="150" w:type="dxa"/>
              <w:right w:w="240" w:type="dxa"/>
            </w:tcMar>
            <w:vAlign w:val="center"/>
          </w:tcPr>
          <w:p w:rsidR="097C9638" w:rsidP="097C9638" w:rsidRDefault="097C9638" w14:paraId="3738B4AC" w14:textId="35B6716A">
            <w:pPr>
              <w:shd w:val="clear" w:color="auto" w:fill="FFFFFF" w:themeFill="background1"/>
              <w:bidi w:val="0"/>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Élément</w:t>
            </w:r>
          </w:p>
        </w:tc>
        <w:tc>
          <w:tcPr>
            <w:tcW w:w="4340" w:type="dxa"/>
            <w:tcBorders>
              <w:top w:val="nil"/>
              <w:bottom w:val="single" w:sz="6"/>
            </w:tcBorders>
            <w:tcMar>
              <w:top w:w="150" w:type="dxa"/>
              <w:left w:w="240" w:type="dxa"/>
              <w:bottom w:w="150" w:type="dxa"/>
              <w:right w:w="240" w:type="dxa"/>
            </w:tcMar>
            <w:vAlign w:val="center"/>
          </w:tcPr>
          <w:p w:rsidR="097C9638" w:rsidP="097C9638" w:rsidRDefault="097C9638" w14:paraId="66147B13" w14:textId="6E1AA29F">
            <w:pPr>
              <w:shd w:val="clear" w:color="auto" w:fill="FFFFFF" w:themeFill="background1"/>
              <w:bidi w:val="0"/>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 Présentation France</w:t>
            </w:r>
          </w:p>
        </w:tc>
        <w:tc>
          <w:tcPr>
            <w:tcW w:w="4340" w:type="dxa"/>
            <w:tcBorders>
              <w:top w:val="nil"/>
              <w:bottom w:val="single" w:sz="6"/>
            </w:tcBorders>
            <w:tcMar>
              <w:top w:w="150" w:type="dxa"/>
              <w:left w:w="240" w:type="dxa"/>
              <w:bottom w:w="150" w:type="dxa"/>
              <w:right w:w="240" w:type="dxa"/>
            </w:tcMar>
            <w:vAlign w:val="center"/>
          </w:tcPr>
          <w:p w:rsidR="097C9638" w:rsidP="097C9638" w:rsidRDefault="097C9638" w14:paraId="54C1C469" w14:textId="30EBB4CC">
            <w:pPr>
              <w:shd w:val="clear" w:color="auto" w:fill="FFFFFF" w:themeFill="background1"/>
              <w:bidi w:val="0"/>
              <w:spacing w:before="0" w:beforeAutospacing="off" w:after="0" w:afterAutospacing="off" w:line="375" w:lineRule="auto"/>
              <w:jc w:val="left"/>
            </w:pPr>
            <w:r w:rsidRPr="097C9638" w:rsidR="097C9638">
              <w:rPr>
                <w:rFonts w:ascii="system-ui" w:hAnsi="system-ui" w:eastAsia="system-ui" w:cs="system-ui"/>
                <w:b w:val="0"/>
                <w:bCs w:val="0"/>
                <w:i w:val="0"/>
                <w:iCs w:val="0"/>
                <w:sz w:val="22"/>
                <w:szCs w:val="22"/>
              </w:rPr>
              <w:t>🇨🇴 Présentation Colombie</w:t>
            </w:r>
          </w:p>
        </w:tc>
      </w:tr>
      <w:tr w:rsidR="097C9638" w:rsidTr="097C9638" w14:paraId="3B831286">
        <w:trPr>
          <w:trHeight w:val="300"/>
        </w:trPr>
        <w:tc>
          <w:tcPr>
            <w:tcW w:w="1640" w:type="dxa"/>
            <w:tcBorders>
              <w:bottom w:val="single" w:sz="6"/>
            </w:tcBorders>
            <w:tcMar>
              <w:top w:w="150" w:type="dxa"/>
              <w:bottom w:w="150" w:type="dxa"/>
              <w:right w:w="240" w:type="dxa"/>
            </w:tcMar>
            <w:vAlign w:val="center"/>
          </w:tcPr>
          <w:p w:rsidR="097C9638" w:rsidP="097C9638" w:rsidRDefault="097C9638" w14:paraId="628D882B" w14:textId="351DBDF5">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1"/>
                <w:bCs w:val="1"/>
                <w:i w:val="0"/>
                <w:iCs w:val="0"/>
                <w:sz w:val="22"/>
                <w:szCs w:val="22"/>
              </w:rPr>
              <w:t>Durée cible</w:t>
            </w:r>
          </w:p>
        </w:tc>
        <w:tc>
          <w:tcPr>
            <w:tcW w:w="4340" w:type="dxa"/>
            <w:tcBorders>
              <w:bottom w:val="single" w:sz="6"/>
            </w:tcBorders>
            <w:tcMar>
              <w:top w:w="150" w:type="dxa"/>
              <w:left w:w="240" w:type="dxa"/>
              <w:bottom w:w="150" w:type="dxa"/>
              <w:right w:w="240" w:type="dxa"/>
            </w:tcMar>
            <w:vAlign w:val="center"/>
          </w:tcPr>
          <w:p w:rsidR="097C9638" w:rsidP="097C9638" w:rsidRDefault="097C9638" w14:paraId="74907864" w14:textId="1C7E7286">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20‑30 min (synthétique)</w:t>
            </w:r>
          </w:p>
        </w:tc>
        <w:tc>
          <w:tcPr>
            <w:tcW w:w="4340" w:type="dxa"/>
            <w:tcBorders>
              <w:bottom w:val="single" w:sz="6"/>
            </w:tcBorders>
            <w:tcMar>
              <w:top w:w="150" w:type="dxa"/>
              <w:left w:w="240" w:type="dxa"/>
              <w:bottom w:w="150" w:type="dxa"/>
            </w:tcMar>
            <w:vAlign w:val="center"/>
          </w:tcPr>
          <w:p w:rsidR="097C9638" w:rsidP="097C9638" w:rsidRDefault="097C9638" w14:paraId="59B87700" w14:textId="15AAD9EA">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25‑35 min (plus détaillée)</w:t>
            </w:r>
          </w:p>
        </w:tc>
      </w:tr>
      <w:tr w:rsidR="097C9638" w:rsidTr="097C9638" w14:paraId="59367CD4">
        <w:trPr>
          <w:trHeight w:val="300"/>
        </w:trPr>
        <w:tc>
          <w:tcPr>
            <w:tcW w:w="1640" w:type="dxa"/>
            <w:tcBorders>
              <w:bottom w:val="single" w:sz="6"/>
            </w:tcBorders>
            <w:tcMar>
              <w:top w:w="150" w:type="dxa"/>
              <w:bottom w:w="150" w:type="dxa"/>
              <w:right w:w="240" w:type="dxa"/>
            </w:tcMar>
            <w:vAlign w:val="center"/>
          </w:tcPr>
          <w:p w:rsidR="097C9638" w:rsidP="097C9638" w:rsidRDefault="097C9638" w14:paraId="6F239B05" w14:textId="33A8188A">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1"/>
                <w:bCs w:val="1"/>
                <w:i w:val="0"/>
                <w:iCs w:val="0"/>
                <w:sz w:val="22"/>
                <w:szCs w:val="22"/>
              </w:rPr>
              <w:t>Structure</w:t>
            </w:r>
          </w:p>
        </w:tc>
        <w:tc>
          <w:tcPr>
            <w:tcW w:w="4340" w:type="dxa"/>
            <w:tcBorders>
              <w:bottom w:val="single" w:sz="6"/>
            </w:tcBorders>
            <w:tcMar>
              <w:top w:w="150" w:type="dxa"/>
              <w:left w:w="240" w:type="dxa"/>
              <w:bottom w:w="150" w:type="dxa"/>
              <w:right w:w="240" w:type="dxa"/>
            </w:tcMar>
            <w:vAlign w:val="center"/>
          </w:tcPr>
          <w:p w:rsidR="097C9638" w:rsidP="097C9638" w:rsidRDefault="097C9638" w14:paraId="74CE494B" w14:textId="31B03A98">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1. Contexte &amp; objectifs (2 slides)</w:t>
            </w:r>
            <w:r>
              <w:br/>
            </w:r>
            <w:r w:rsidRPr="097C9638" w:rsidR="097C9638">
              <w:rPr>
                <w:rFonts w:ascii="system-ui" w:hAnsi="system-ui" w:eastAsia="system-ui" w:cs="system-ui"/>
                <w:b w:val="0"/>
                <w:bCs w:val="0"/>
                <w:i w:val="0"/>
                <w:iCs w:val="0"/>
                <w:sz w:val="22"/>
                <w:szCs w:val="22"/>
              </w:rPr>
              <w:t>2. Méthodo (1 slide)</w:t>
            </w:r>
            <w:r>
              <w:br/>
            </w:r>
            <w:r w:rsidRPr="097C9638" w:rsidR="097C9638">
              <w:rPr>
                <w:rFonts w:ascii="system-ui" w:hAnsi="system-ui" w:eastAsia="system-ui" w:cs="system-ui"/>
                <w:b w:val="0"/>
                <w:bCs w:val="0"/>
                <w:i w:val="0"/>
                <w:iCs w:val="0"/>
                <w:sz w:val="22"/>
                <w:szCs w:val="22"/>
              </w:rPr>
              <w:t>3. Résultats clés (5‑6 slides)</w:t>
            </w:r>
            <w:r>
              <w:br/>
            </w:r>
            <w:r w:rsidRPr="097C9638" w:rsidR="097C9638">
              <w:rPr>
                <w:rFonts w:ascii="system-ui" w:hAnsi="system-ui" w:eastAsia="system-ui" w:cs="system-ui"/>
                <w:b w:val="0"/>
                <w:bCs w:val="0"/>
                <w:i w:val="0"/>
                <w:iCs w:val="0"/>
                <w:sz w:val="22"/>
                <w:szCs w:val="22"/>
              </w:rPr>
              <w:t>4. Recommandations (3‑4 slides)</w:t>
            </w:r>
            <w:r>
              <w:br/>
            </w:r>
            <w:r w:rsidRPr="097C9638" w:rsidR="097C9638">
              <w:rPr>
                <w:rFonts w:ascii="system-ui" w:hAnsi="system-ui" w:eastAsia="system-ui" w:cs="system-ui"/>
                <w:b w:val="0"/>
                <w:bCs w:val="0"/>
                <w:i w:val="0"/>
                <w:iCs w:val="0"/>
                <w:sz w:val="22"/>
                <w:szCs w:val="22"/>
              </w:rPr>
              <w:t>5. Annexes (sur demande)</w:t>
            </w:r>
          </w:p>
        </w:tc>
        <w:tc>
          <w:tcPr>
            <w:tcW w:w="4340" w:type="dxa"/>
            <w:tcBorders>
              <w:bottom w:val="single" w:sz="6"/>
            </w:tcBorders>
            <w:tcMar>
              <w:top w:w="150" w:type="dxa"/>
              <w:left w:w="240" w:type="dxa"/>
              <w:bottom w:w="150" w:type="dxa"/>
            </w:tcMar>
            <w:vAlign w:val="center"/>
          </w:tcPr>
          <w:p w:rsidR="097C9638" w:rsidP="097C9638" w:rsidRDefault="097C9638" w14:paraId="470665DF" w14:textId="47738D15">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1. Contexte local &amp; justification (3 slides)</w:t>
            </w:r>
            <w:r>
              <w:br/>
            </w:r>
            <w:r w:rsidRPr="097C9638" w:rsidR="097C9638">
              <w:rPr>
                <w:rFonts w:ascii="system-ui" w:hAnsi="system-ui" w:eastAsia="system-ui" w:cs="system-ui"/>
                <w:b w:val="0"/>
                <w:bCs w:val="0"/>
                <w:i w:val="0"/>
                <w:iCs w:val="0"/>
                <w:sz w:val="22"/>
                <w:szCs w:val="22"/>
              </w:rPr>
              <w:t>2. Méthodologie détaillée (2 slides – terrain, précautions, échantillon)</w:t>
            </w:r>
            <w:r>
              <w:br/>
            </w:r>
            <w:r w:rsidRPr="097C9638" w:rsidR="097C9638">
              <w:rPr>
                <w:rFonts w:ascii="system-ui" w:hAnsi="system-ui" w:eastAsia="system-ui" w:cs="system-ui"/>
                <w:b w:val="0"/>
                <w:bCs w:val="0"/>
                <w:i w:val="0"/>
                <w:iCs w:val="0"/>
                <w:sz w:val="22"/>
                <w:szCs w:val="22"/>
              </w:rPr>
              <w:t>3. Résultats par région (4‑5 slides)</w:t>
            </w:r>
            <w:r>
              <w:br/>
            </w:r>
            <w:r w:rsidRPr="097C9638" w:rsidR="097C9638">
              <w:rPr>
                <w:rFonts w:ascii="system-ui" w:hAnsi="system-ui" w:eastAsia="system-ui" w:cs="system-ui"/>
                <w:b w:val="0"/>
                <w:bCs w:val="0"/>
                <w:i w:val="0"/>
                <w:iCs w:val="0"/>
                <w:sz w:val="22"/>
                <w:szCs w:val="22"/>
              </w:rPr>
              <w:t>4. Risques &amp; aspects juridiques (2 slides)</w:t>
            </w:r>
            <w:r>
              <w:br/>
            </w:r>
            <w:r w:rsidRPr="097C9638" w:rsidR="097C9638">
              <w:rPr>
                <w:rFonts w:ascii="system-ui" w:hAnsi="system-ui" w:eastAsia="system-ui" w:cs="system-ui"/>
                <w:b w:val="0"/>
                <w:bCs w:val="0"/>
                <w:i w:val="0"/>
                <w:iCs w:val="0"/>
                <w:sz w:val="22"/>
                <w:szCs w:val="22"/>
              </w:rPr>
              <w:t>5. Recommandations adaptées (3‑4 slides)</w:t>
            </w:r>
          </w:p>
        </w:tc>
      </w:tr>
      <w:tr w:rsidR="097C9638" w:rsidTr="097C9638" w14:paraId="12EEB3F9">
        <w:trPr>
          <w:trHeight w:val="300"/>
        </w:trPr>
        <w:tc>
          <w:tcPr>
            <w:tcW w:w="1640" w:type="dxa"/>
            <w:tcBorders>
              <w:bottom w:val="single" w:sz="6"/>
            </w:tcBorders>
            <w:tcMar>
              <w:top w:w="150" w:type="dxa"/>
              <w:bottom w:w="150" w:type="dxa"/>
              <w:right w:w="240" w:type="dxa"/>
            </w:tcMar>
            <w:vAlign w:val="center"/>
          </w:tcPr>
          <w:p w:rsidR="097C9638" w:rsidP="097C9638" w:rsidRDefault="097C9638" w14:paraId="7ADCEF0C" w14:textId="2D44DE75">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1"/>
                <w:bCs w:val="1"/>
                <w:i w:val="0"/>
                <w:iCs w:val="0"/>
                <w:sz w:val="22"/>
                <w:szCs w:val="22"/>
              </w:rPr>
              <w:t>Mise en avant</w:t>
            </w:r>
          </w:p>
        </w:tc>
        <w:tc>
          <w:tcPr>
            <w:tcW w:w="4340" w:type="dxa"/>
            <w:tcBorders>
              <w:bottom w:val="single" w:sz="6"/>
            </w:tcBorders>
            <w:tcMar>
              <w:top w:w="150" w:type="dxa"/>
              <w:left w:w="240" w:type="dxa"/>
              <w:bottom w:w="150" w:type="dxa"/>
              <w:right w:w="240" w:type="dxa"/>
            </w:tcMar>
            <w:vAlign w:val="center"/>
          </w:tcPr>
          <w:p w:rsidR="097C9638" w:rsidP="097C9638" w:rsidRDefault="097C9638" w14:paraId="4FDB15F1" w14:textId="722ABBC1">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Graphiques propres, focus sur ROI, calendrier court</w:t>
            </w:r>
          </w:p>
        </w:tc>
        <w:tc>
          <w:tcPr>
            <w:tcW w:w="4340" w:type="dxa"/>
            <w:tcBorders>
              <w:bottom w:val="single" w:sz="6"/>
            </w:tcBorders>
            <w:tcMar>
              <w:top w:w="150" w:type="dxa"/>
              <w:left w:w="240" w:type="dxa"/>
              <w:bottom w:w="150" w:type="dxa"/>
            </w:tcMar>
            <w:vAlign w:val="center"/>
          </w:tcPr>
          <w:p w:rsidR="097C9638" w:rsidP="097C9638" w:rsidRDefault="097C9638" w14:paraId="389A0EBF" w14:textId="647C3A2B">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Photos du terrain, verbatims, cartes régionales, encadrés “informalité”</w:t>
            </w:r>
          </w:p>
        </w:tc>
      </w:tr>
      <w:tr w:rsidR="097C9638" w:rsidTr="097C9638" w14:paraId="4447AF23">
        <w:trPr>
          <w:trHeight w:val="300"/>
        </w:trPr>
        <w:tc>
          <w:tcPr>
            <w:tcW w:w="1640" w:type="dxa"/>
            <w:tcBorders>
              <w:bottom w:val="single" w:sz="6"/>
            </w:tcBorders>
            <w:tcMar>
              <w:top w:w="150" w:type="dxa"/>
              <w:bottom w:w="150" w:type="dxa"/>
              <w:right w:w="240" w:type="dxa"/>
            </w:tcMar>
            <w:vAlign w:val="center"/>
          </w:tcPr>
          <w:p w:rsidR="097C9638" w:rsidP="097C9638" w:rsidRDefault="097C9638" w14:paraId="676F350E" w14:textId="58AD75CC">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1"/>
                <w:bCs w:val="1"/>
                <w:i w:val="0"/>
                <w:iCs w:val="0"/>
                <w:sz w:val="22"/>
                <w:szCs w:val="22"/>
              </w:rPr>
              <w:t>Tonalité</w:t>
            </w:r>
          </w:p>
        </w:tc>
        <w:tc>
          <w:tcPr>
            <w:tcW w:w="4340" w:type="dxa"/>
            <w:tcBorders>
              <w:bottom w:val="single" w:sz="6"/>
            </w:tcBorders>
            <w:tcMar>
              <w:top w:w="150" w:type="dxa"/>
              <w:left w:w="240" w:type="dxa"/>
              <w:bottom w:w="150" w:type="dxa"/>
              <w:right w:w="240" w:type="dxa"/>
            </w:tcMar>
            <w:vAlign w:val="center"/>
          </w:tcPr>
          <w:p w:rsidR="097C9638" w:rsidP="097C9638" w:rsidRDefault="097C9638" w14:paraId="493BF681" w14:textId="7328257B">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Professionnelle, directive, “prête à décider”</w:t>
            </w:r>
          </w:p>
        </w:tc>
        <w:tc>
          <w:tcPr>
            <w:tcW w:w="4340" w:type="dxa"/>
            <w:tcBorders>
              <w:bottom w:val="single" w:sz="6"/>
            </w:tcBorders>
            <w:tcMar>
              <w:top w:w="150" w:type="dxa"/>
              <w:left w:w="240" w:type="dxa"/>
              <w:bottom w:w="150" w:type="dxa"/>
            </w:tcMar>
            <w:vAlign w:val="center"/>
          </w:tcPr>
          <w:p w:rsidR="097C9638" w:rsidP="097C9638" w:rsidRDefault="097C9638" w14:paraId="1C2D5845" w14:textId="578299B3">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Pédagogique, transparente sur les limites, rassurante sur la rigueur</w:t>
            </w:r>
          </w:p>
        </w:tc>
      </w:tr>
      <w:tr w:rsidR="097C9638" w:rsidTr="097C9638" w14:paraId="6C6C4EEA">
        <w:trPr>
          <w:trHeight w:val="300"/>
        </w:trPr>
        <w:tc>
          <w:tcPr>
            <w:tcW w:w="1640" w:type="dxa"/>
            <w:tcBorders>
              <w:bottom w:val="single" w:sz="6"/>
            </w:tcBorders>
            <w:tcMar>
              <w:top w:w="150" w:type="dxa"/>
              <w:bottom w:w="150" w:type="dxa"/>
              <w:right w:w="240" w:type="dxa"/>
            </w:tcMar>
            <w:vAlign w:val="center"/>
          </w:tcPr>
          <w:p w:rsidR="097C9638" w:rsidP="097C9638" w:rsidRDefault="097C9638" w14:paraId="1A1FFBBB" w14:textId="25961CDA">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1"/>
                <w:bCs w:val="1"/>
                <w:i w:val="0"/>
                <w:iCs w:val="0"/>
                <w:sz w:val="22"/>
                <w:szCs w:val="22"/>
              </w:rPr>
              <w:t>Supports visuels</w:t>
            </w:r>
          </w:p>
        </w:tc>
        <w:tc>
          <w:tcPr>
            <w:tcW w:w="4340" w:type="dxa"/>
            <w:tcBorders>
              <w:bottom w:val="single" w:sz="6"/>
            </w:tcBorders>
            <w:tcMar>
              <w:top w:w="150" w:type="dxa"/>
              <w:left w:w="240" w:type="dxa"/>
              <w:bottom w:w="150" w:type="dxa"/>
              <w:right w:w="240" w:type="dxa"/>
            </w:tcMar>
            <w:vAlign w:val="center"/>
          </w:tcPr>
          <w:p w:rsidR="097C9638" w:rsidP="097C9638" w:rsidRDefault="097C9638" w14:paraId="3BD84275" w14:textId="1CD5EC9C">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Infographies épurées, européens</w:t>
            </w:r>
          </w:p>
        </w:tc>
        <w:tc>
          <w:tcPr>
            <w:tcW w:w="4340" w:type="dxa"/>
            <w:tcBorders>
              <w:bottom w:val="single" w:sz="6"/>
            </w:tcBorders>
            <w:tcMar>
              <w:top w:w="150" w:type="dxa"/>
              <w:left w:w="240" w:type="dxa"/>
              <w:bottom w:w="150" w:type="dxa"/>
            </w:tcMar>
            <w:vAlign w:val="center"/>
          </w:tcPr>
          <w:p w:rsidR="097C9638" w:rsidP="097C9638" w:rsidRDefault="097C9638" w14:paraId="04EFF559" w14:textId="19C1A688">
            <w:pPr>
              <w:shd w:val="clear" w:color="auto" w:fill="FFFFFF" w:themeFill="background1"/>
              <w:bidi w:val="0"/>
              <w:spacing w:before="0" w:beforeAutospacing="off" w:after="0" w:afterAutospacing="off" w:line="375" w:lineRule="auto"/>
            </w:pPr>
            <w:r w:rsidRPr="097C9638" w:rsidR="097C9638">
              <w:rPr>
                <w:rFonts w:ascii="system-ui" w:hAnsi="system-ui" w:eastAsia="system-ui" w:cs="system-ui"/>
                <w:b w:val="0"/>
                <w:bCs w:val="0"/>
                <w:i w:val="0"/>
                <w:iCs w:val="0"/>
                <w:sz w:val="22"/>
                <w:szCs w:val="22"/>
              </w:rPr>
              <w:t>Photos d’enquêteurs, captures de questionnaires, logos des partenaires locaux</w:t>
            </w:r>
          </w:p>
        </w:tc>
      </w:tr>
    </w:tbl>
    <w:p w:rsidR="097C9638" w:rsidRDefault="097C9638" w14:paraId="3FA1A8AE" w14:textId="330A12E3"/>
    <w:p w:rsidR="36303A16" w:rsidP="097C9638" w:rsidRDefault="36303A16" w14:paraId="08D102C0" w14:textId="4F02EC80">
      <w:pPr>
        <w:pStyle w:val="Heading2"/>
        <w:shd w:val="clear" w:color="auto" w:fill="FFFFFF" w:themeFill="background1"/>
        <w:bidi w:val="0"/>
        <w:spacing w:before="480" w:beforeAutospacing="off" w:after="240" w:afterAutospacing="off" w:line="480" w:lineRule="auto"/>
      </w:pPr>
      <w:r w:rsidRPr="097C9638" w:rsidR="36303A16">
        <w:rPr>
          <w:rFonts w:ascii="system-ui" w:hAnsi="system-ui" w:eastAsia="system-ui" w:cs="system-ui"/>
          <w:b w:val="1"/>
          <w:bCs w:val="1"/>
          <w:i w:val="0"/>
          <w:iCs w:val="0"/>
          <w:caps w:val="0"/>
          <w:smallCaps w:val="0"/>
          <w:noProof w:val="0"/>
          <w:color w:val="0F1115"/>
          <w:sz w:val="33"/>
          <w:szCs w:val="33"/>
          <w:lang w:val="fr-FR"/>
        </w:rPr>
        <w:t>✅ Checklist finale – avant de rédiger les présentations</w:t>
      </w:r>
    </w:p>
    <w:p w:rsidR="36303A16" w:rsidP="097C9638" w:rsidRDefault="36303A16" w14:paraId="004DF907" w14:textId="6F24CE4B">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J’ai bien différencié les </w:t>
      </w:r>
      <w:r w:rsidRPr="097C9638" w:rsidR="36303A16">
        <w:rPr>
          <w:rFonts w:ascii="system-ui" w:hAnsi="system-ui" w:eastAsia="system-ui" w:cs="system-ui"/>
          <w:b w:val="1"/>
          <w:bCs w:val="1"/>
          <w:i w:val="0"/>
          <w:iCs w:val="0"/>
          <w:caps w:val="0"/>
          <w:smallCaps w:val="0"/>
          <w:noProof w:val="0"/>
          <w:color w:val="0F1115"/>
          <w:sz w:val="24"/>
          <w:szCs w:val="24"/>
          <w:lang w:val="fr-FR"/>
        </w:rPr>
        <w:t>sources secondaires</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(France vs Colombie)</w:t>
      </w:r>
    </w:p>
    <w:p w:rsidR="36303A16" w:rsidP="097C9638" w:rsidRDefault="36303A16" w14:paraId="776A3E10" w14:textId="606B4FF0">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J’ai décrit précisément </w:t>
      </w:r>
      <w:r w:rsidRPr="097C9638" w:rsidR="36303A16">
        <w:rPr>
          <w:rFonts w:ascii="system-ui" w:hAnsi="system-ui" w:eastAsia="system-ui" w:cs="system-ui"/>
          <w:b w:val="1"/>
          <w:bCs w:val="1"/>
          <w:i w:val="0"/>
          <w:iCs w:val="0"/>
          <w:caps w:val="0"/>
          <w:smallCaps w:val="0"/>
          <w:noProof w:val="0"/>
          <w:color w:val="0F1115"/>
          <w:sz w:val="24"/>
          <w:szCs w:val="24"/>
          <w:lang w:val="fr-FR"/>
        </w:rPr>
        <w:t>comment j’ai adapté le terrain</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en Colombie (face‑à‑face, informalité)</w:t>
      </w:r>
    </w:p>
    <w:p w:rsidR="36303A16" w:rsidP="097C9638" w:rsidRDefault="36303A16" w14:paraId="63306D03" w14:textId="75B1FA3F">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J’ai intégré un </w:t>
      </w:r>
      <w:r w:rsidRPr="097C9638" w:rsidR="36303A16">
        <w:rPr>
          <w:rFonts w:ascii="system-ui" w:hAnsi="system-ui" w:eastAsia="system-ui" w:cs="system-ui"/>
          <w:b w:val="1"/>
          <w:bCs w:val="1"/>
          <w:i w:val="0"/>
          <w:iCs w:val="0"/>
          <w:caps w:val="0"/>
          <w:smallCaps w:val="0"/>
          <w:noProof w:val="0"/>
          <w:color w:val="0F1115"/>
          <w:sz w:val="24"/>
          <w:szCs w:val="24"/>
          <w:lang w:val="fr-FR"/>
        </w:rPr>
        <w:t>slide dédié à la conformité juridique</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pour chaque pays</w:t>
      </w:r>
    </w:p>
    <w:p w:rsidR="36303A16" w:rsidP="097C9638" w:rsidRDefault="36303A16" w14:paraId="040760BC" w14:textId="506BA08B">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J’ai testé la compréhension des </w:t>
      </w:r>
      <w:r w:rsidRPr="097C9638" w:rsidR="36303A16">
        <w:rPr>
          <w:rFonts w:ascii="system-ui" w:hAnsi="system-ui" w:eastAsia="system-ui" w:cs="system-ui"/>
          <w:b w:val="1"/>
          <w:bCs w:val="1"/>
          <w:i w:val="0"/>
          <w:iCs w:val="0"/>
          <w:caps w:val="0"/>
          <w:smallCaps w:val="0"/>
          <w:noProof w:val="0"/>
          <w:color w:val="0F1115"/>
          <w:sz w:val="24"/>
          <w:szCs w:val="24"/>
          <w:lang w:val="fr-FR"/>
        </w:rPr>
        <w:t>échelles de prix</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(en pesos colombiens et en euros)</w:t>
      </w:r>
    </w:p>
    <w:p w:rsidR="36303A16" w:rsidP="097C9638" w:rsidRDefault="36303A16" w14:paraId="1D0F8B63" w14:textId="58CC3EB6">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097C9638" w:rsidR="36303A16">
        <w:rPr>
          <w:rFonts w:ascii="system-ui" w:hAnsi="system-ui" w:eastAsia="system-ui" w:cs="system-ui"/>
          <w:b w:val="0"/>
          <w:bCs w:val="0"/>
          <w:i w:val="0"/>
          <w:iCs w:val="0"/>
          <w:caps w:val="0"/>
          <w:smallCaps w:val="0"/>
          <w:noProof w:val="0"/>
          <w:color w:val="0F1115"/>
          <w:sz w:val="24"/>
          <w:szCs w:val="24"/>
          <w:lang w:val="fr-FR"/>
        </w:rPr>
        <w:t xml:space="preserve">J’ai prévu une </w:t>
      </w:r>
      <w:r w:rsidRPr="097C9638" w:rsidR="36303A16">
        <w:rPr>
          <w:rFonts w:ascii="system-ui" w:hAnsi="system-ui" w:eastAsia="system-ui" w:cs="system-ui"/>
          <w:b w:val="1"/>
          <w:bCs w:val="1"/>
          <w:i w:val="0"/>
          <w:iCs w:val="0"/>
          <w:caps w:val="0"/>
          <w:smallCaps w:val="0"/>
          <w:noProof w:val="0"/>
          <w:color w:val="0F1115"/>
          <w:sz w:val="24"/>
          <w:szCs w:val="24"/>
          <w:lang w:val="fr-FR"/>
        </w:rPr>
        <w:t>version courte</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(France) et une </w:t>
      </w:r>
      <w:r w:rsidRPr="097C9638" w:rsidR="36303A16">
        <w:rPr>
          <w:rFonts w:ascii="system-ui" w:hAnsi="system-ui" w:eastAsia="system-ui" w:cs="system-ui"/>
          <w:b w:val="1"/>
          <w:bCs w:val="1"/>
          <w:i w:val="0"/>
          <w:iCs w:val="0"/>
          <w:caps w:val="0"/>
          <w:smallCaps w:val="0"/>
          <w:noProof w:val="0"/>
          <w:color w:val="0F1115"/>
          <w:sz w:val="24"/>
          <w:szCs w:val="24"/>
          <w:lang w:val="fr-FR"/>
        </w:rPr>
        <w:t>version longue avec preuves de terrain</w:t>
      </w:r>
      <w:r w:rsidRPr="097C9638" w:rsidR="36303A16">
        <w:rPr>
          <w:rFonts w:ascii="system-ui" w:hAnsi="system-ui" w:eastAsia="system-ui" w:cs="system-ui"/>
          <w:b w:val="0"/>
          <w:bCs w:val="0"/>
          <w:i w:val="0"/>
          <w:iCs w:val="0"/>
          <w:caps w:val="0"/>
          <w:smallCaps w:val="0"/>
          <w:noProof w:val="0"/>
          <w:color w:val="0F1115"/>
          <w:sz w:val="24"/>
          <w:szCs w:val="24"/>
          <w:lang w:val="fr-FR"/>
        </w:rPr>
        <w:t xml:space="preserve"> (Colombie)</w:t>
      </w:r>
    </w:p>
    <w:p w:rsidR="097C9638" w:rsidRDefault="097C9638" w14:paraId="52FF0ACC" w14:textId="45DF1233"/>
    <w:p w:rsidR="36303A16" w:rsidP="097C9638" w:rsidRDefault="36303A16" w14:paraId="62C76397" w14:textId="256FC34C">
      <w:pPr>
        <w:pStyle w:val="Heading1"/>
      </w:pPr>
      <w:r w:rsidR="36303A16">
        <w:rPr/>
        <w:t xml:space="preserve">Lexique : </w:t>
      </w:r>
    </w:p>
    <w:p w:rsidR="51C9AA6A" w:rsidP="097C9638" w:rsidRDefault="51C9AA6A" w14:paraId="7A52CBBE" w14:textId="2CF825E7">
      <w:pPr>
        <w:pStyle w:val="Normal"/>
        <w:rPr>
          <w:rFonts w:ascii="Aptos" w:hAnsi="Aptos" w:eastAsia="Aptos" w:cs="Aptos"/>
          <w:noProof w:val="0"/>
          <w:sz w:val="24"/>
          <w:szCs w:val="24"/>
          <w:lang w:val="fr-FR"/>
        </w:rPr>
      </w:pPr>
      <w:r w:rsidRPr="097C9638" w:rsidR="51C9AA6A">
        <w:rPr>
          <w:rFonts w:ascii="system-ui" w:hAnsi="system-ui" w:eastAsia="system-ui" w:cs="system-ui"/>
          <w:b w:val="1"/>
          <w:bCs w:val="1"/>
          <w:i w:val="0"/>
          <w:iCs w:val="0"/>
          <w:caps w:val="0"/>
          <w:smallCaps w:val="0"/>
          <w:noProof w:val="0"/>
          <w:color w:val="0F1115"/>
          <w:sz w:val="24"/>
          <w:szCs w:val="24"/>
          <w:lang w:val="fr-FR"/>
        </w:rPr>
        <w:t>benchmark</w:t>
      </w:r>
      <w:r w:rsidRPr="097C9638" w:rsidR="51C9AA6A">
        <w:rPr>
          <w:rFonts w:ascii="system-ui" w:hAnsi="system-ui" w:eastAsia="system-ui" w:cs="system-ui"/>
          <w:b w:val="0"/>
          <w:bCs w:val="0"/>
          <w:i w:val="0"/>
          <w:iCs w:val="0"/>
          <w:caps w:val="0"/>
          <w:smallCaps w:val="0"/>
          <w:noProof w:val="0"/>
          <w:color w:val="0F1115"/>
          <w:sz w:val="24"/>
          <w:szCs w:val="24"/>
          <w:lang w:val="fr-FR"/>
        </w:rPr>
        <w:t xml:space="preserve"> est une référence mesurable qui vous permet de </w:t>
      </w:r>
      <w:r w:rsidRPr="097C9638" w:rsidR="51C9AA6A">
        <w:rPr>
          <w:rFonts w:ascii="system-ui" w:hAnsi="system-ui" w:eastAsia="system-ui" w:cs="system-ui"/>
          <w:b w:val="1"/>
          <w:bCs w:val="1"/>
          <w:i w:val="0"/>
          <w:iCs w:val="0"/>
          <w:caps w:val="0"/>
          <w:smallCaps w:val="0"/>
          <w:noProof w:val="0"/>
          <w:color w:val="0F1115"/>
          <w:sz w:val="24"/>
          <w:szCs w:val="24"/>
          <w:lang w:val="fr-FR"/>
        </w:rPr>
        <w:t>situer, juger et améliorer</w:t>
      </w:r>
      <w:r w:rsidRPr="097C9638" w:rsidR="51C9AA6A">
        <w:rPr>
          <w:rFonts w:ascii="system-ui" w:hAnsi="system-ui" w:eastAsia="system-ui" w:cs="system-ui"/>
          <w:b w:val="0"/>
          <w:bCs w:val="0"/>
          <w:i w:val="0"/>
          <w:iCs w:val="0"/>
          <w:caps w:val="0"/>
          <w:smallCaps w:val="0"/>
          <w:noProof w:val="0"/>
          <w:color w:val="0F1115"/>
          <w:sz w:val="24"/>
          <w:szCs w:val="24"/>
          <w:lang w:val="fr-FR"/>
        </w:rPr>
        <w:t xml:space="preserve"> votre performance en la comparant à celle d’autres acteurs ou standards reconnus</w:t>
      </w:r>
    </w:p>
    <w:p w:rsidR="097C9638" w:rsidP="097C9638" w:rsidRDefault="097C9638" w14:paraId="38822A28" w14:textId="696D925B">
      <w:pPr>
        <w:pStyle w:val="Normal"/>
        <w:rPr>
          <w:rFonts w:ascii="system-ui" w:hAnsi="system-ui" w:eastAsia="system-ui" w:cs="system-ui"/>
          <w:b w:val="0"/>
          <w:bCs w:val="0"/>
          <w:i w:val="0"/>
          <w:iCs w:val="0"/>
          <w:caps w:val="0"/>
          <w:smallCaps w:val="0"/>
          <w:noProof w:val="0"/>
          <w:color w:val="0F1115"/>
          <w:sz w:val="24"/>
          <w:szCs w:val="24"/>
          <w:lang w:val="fr-FR"/>
        </w:rPr>
      </w:pPr>
    </w:p>
    <w:p w:rsidR="097C9638" w:rsidP="097C9638" w:rsidRDefault="097C9638" w14:paraId="6E5A1852" w14:textId="4FCFD56C">
      <w:pPr>
        <w:pStyle w:val="Normal"/>
        <w:rPr>
          <w:rFonts w:ascii="system-ui" w:hAnsi="system-ui" w:eastAsia="system-ui" w:cs="system-ui"/>
          <w:b w:val="0"/>
          <w:bCs w:val="0"/>
          <w:i w:val="0"/>
          <w:iCs w:val="0"/>
          <w:caps w:val="0"/>
          <w:smallCaps w:val="0"/>
          <w:noProof w:val="0"/>
          <w:color w:val="0F1115"/>
          <w:sz w:val="24"/>
          <w:szCs w:val="24"/>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7378c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ff2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0f7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8d0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f3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964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f06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947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813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5dd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127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5b0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260774"/>
    <w:rsid w:val="0677A18C"/>
    <w:rsid w:val="082BF55B"/>
    <w:rsid w:val="082BF55B"/>
    <w:rsid w:val="097C9638"/>
    <w:rsid w:val="100E5C89"/>
    <w:rsid w:val="293F7920"/>
    <w:rsid w:val="30BCC0C5"/>
    <w:rsid w:val="3240753C"/>
    <w:rsid w:val="36303A16"/>
    <w:rsid w:val="51C9AA6A"/>
    <w:rsid w:val="57458EF5"/>
    <w:rsid w:val="72260774"/>
    <w:rsid w:val="78745F0D"/>
    <w:rsid w:val="7A11DD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E7EA"/>
  <w15:chartTrackingRefBased/>
  <w15:docId w15:val="{60442A74-141F-4182-AA13-A874D25D7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97C963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7C9638"/>
    <w:pPr>
      <w:spacing/>
      <w:ind w:left="720"/>
      <w:contextualSpacing/>
    </w:pPr>
  </w:style>
  <w:style w:type="paragraph" w:styleId="Heading2">
    <w:uiPriority w:val="9"/>
    <w:name w:val="heading 2"/>
    <w:basedOn w:val="Normal"/>
    <w:next w:val="Normal"/>
    <w:unhideWhenUsed/>
    <w:qFormat/>
    <w:rsid w:val="097C963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097C963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097C963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ebd16ccec6040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2026-04-09T21:06:29.7168950Z</dcterms:created>
  <dcterms:modified xsi:type="dcterms:W3CDTF">2026-04-09T21:20:24.3279259Z</dcterms:modified>
  <dc:creator>jean-philippe Heurteux</dc:creator>
  <lastModifiedBy>jean-philippe Heurteux</lastModifiedBy>
</coreProperties>
</file>