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C46C" w14:textId="77777777" w:rsidR="00EF1CA2" w:rsidRPr="0060714C" w:rsidRDefault="00EF1CA2" w:rsidP="00EF1CA2">
      <w:r w:rsidRPr="0060714C">
        <w:t>5. Modèle économique prévisionnel</w:t>
      </w:r>
    </w:p>
    <w:p w14:paraId="64382CD0" w14:textId="77777777" w:rsidR="00EF1CA2" w:rsidRPr="0060714C" w:rsidRDefault="00EF1CA2" w:rsidP="00EF1CA2">
      <w:pPr>
        <w:numPr>
          <w:ilvl w:val="0"/>
          <w:numId w:val="1"/>
        </w:numPr>
      </w:pPr>
      <w:r w:rsidRPr="0060714C">
        <w:rPr>
          <w:b/>
          <w:bCs/>
        </w:rPr>
        <w:t>Fond</w:t>
      </w:r>
      <w:r w:rsidRPr="0060714C">
        <w:rPr>
          <w:rFonts w:ascii="Arial" w:hAnsi="Arial" w:cs="Arial"/>
        </w:rPr>
        <w:t> </w:t>
      </w:r>
      <w:r w:rsidRPr="0060714C">
        <w:t>: gris très foncé</w:t>
      </w:r>
    </w:p>
    <w:p w14:paraId="5A1C0FA3" w14:textId="77777777" w:rsidR="00EF1CA2" w:rsidRPr="0060714C" w:rsidRDefault="00EF1CA2" w:rsidP="00EF1CA2">
      <w:pPr>
        <w:numPr>
          <w:ilvl w:val="0"/>
          <w:numId w:val="1"/>
        </w:numPr>
      </w:pPr>
      <w:r w:rsidRPr="0060714C">
        <w:rPr>
          <w:b/>
          <w:bCs/>
        </w:rPr>
        <w:t>Titre</w:t>
      </w:r>
      <w:r w:rsidRPr="0060714C">
        <w:rPr>
          <w:rFonts w:ascii="Arial" w:hAnsi="Arial" w:cs="Arial"/>
        </w:rPr>
        <w:t> </w:t>
      </w:r>
      <w:r w:rsidRPr="0060714C">
        <w:t>:</w:t>
      </w:r>
      <w:r w:rsidRPr="0060714C">
        <w:br/>
      </w:r>
      <w:r w:rsidRPr="0060714C">
        <w:rPr>
          <w:b/>
          <w:bCs/>
        </w:rPr>
        <w:t>MODÈLE ÉCONOMIQUE PRÉVISIONNEL</w:t>
      </w:r>
      <w:r w:rsidRPr="0060714C">
        <w:t> (rouge vif, centré)</w:t>
      </w:r>
    </w:p>
    <w:p w14:paraId="0190C586" w14:textId="77777777" w:rsidR="00EF1CA2" w:rsidRPr="0060714C" w:rsidRDefault="00EF1CA2" w:rsidP="00EF1CA2">
      <w:pPr>
        <w:numPr>
          <w:ilvl w:val="0"/>
          <w:numId w:val="1"/>
        </w:numPr>
      </w:pPr>
      <w:r w:rsidRPr="0060714C">
        <w:rPr>
          <w:b/>
          <w:bCs/>
        </w:rPr>
        <w:t>Sous-titre</w:t>
      </w:r>
      <w:r w:rsidRPr="0060714C">
        <w:rPr>
          <w:rFonts w:ascii="Arial" w:hAnsi="Arial" w:cs="Arial"/>
        </w:rPr>
        <w:t> </w:t>
      </w:r>
      <w:r w:rsidRPr="0060714C">
        <w:t>:</w:t>
      </w:r>
      <w:r w:rsidRPr="0060714C">
        <w:br/>
      </w:r>
      <w:r w:rsidRPr="0060714C">
        <w:rPr>
          <w:i/>
          <w:iCs/>
        </w:rPr>
        <w:t>(Pour 1 000 hôteliers actifs)</w:t>
      </w:r>
    </w:p>
    <w:p w14:paraId="29F648F9" w14:textId="77777777" w:rsidR="00EF1CA2" w:rsidRPr="0060714C" w:rsidRDefault="00EF1CA2" w:rsidP="00EF1CA2">
      <w:pPr>
        <w:numPr>
          <w:ilvl w:val="0"/>
          <w:numId w:val="1"/>
        </w:numPr>
      </w:pPr>
      <w:r w:rsidRPr="0060714C">
        <w:rPr>
          <w:b/>
          <w:bCs/>
        </w:rPr>
        <w:t>Tableau (responsive, encadré, colonnes colorées)</w:t>
      </w:r>
    </w:p>
    <w:p w14:paraId="685A4123" w14:textId="77777777" w:rsidR="00EF1CA2" w:rsidRPr="0060714C" w:rsidRDefault="00EF1CA2" w:rsidP="00EF1CA2">
      <w:pPr>
        <w:numPr>
          <w:ilvl w:val="1"/>
          <w:numId w:val="1"/>
        </w:numPr>
      </w:pPr>
      <w:r w:rsidRPr="0060714C">
        <w:rPr>
          <w:b/>
          <w:bCs/>
        </w:rPr>
        <w:t>Colonnes</w:t>
      </w:r>
      <w:r w:rsidRPr="0060714C">
        <w:rPr>
          <w:rFonts w:ascii="Arial" w:hAnsi="Arial" w:cs="Arial"/>
        </w:rPr>
        <w:t> </w:t>
      </w:r>
      <w:r w:rsidRPr="0060714C">
        <w:t>: Source de revenus, Taux d'adoption, Revenu mensuel, Potentiel annuel</w:t>
      </w:r>
    </w:p>
    <w:p w14:paraId="6981C865" w14:textId="77777777" w:rsidR="00EF1CA2" w:rsidRPr="0060714C" w:rsidRDefault="00EF1CA2" w:rsidP="00EF1CA2">
      <w:pPr>
        <w:numPr>
          <w:ilvl w:val="1"/>
          <w:numId w:val="1"/>
        </w:numPr>
      </w:pPr>
      <w:r w:rsidRPr="0060714C">
        <w:rPr>
          <w:b/>
          <w:bCs/>
        </w:rPr>
        <w:t>Lignes</w:t>
      </w:r>
      <w:r w:rsidRPr="0060714C">
        <w:rPr>
          <w:rFonts w:ascii="Arial" w:hAnsi="Arial" w:cs="Arial"/>
        </w:rPr>
        <w:t> </w:t>
      </w:r>
      <w:r w:rsidRPr="0060714C">
        <w:t>:</w:t>
      </w:r>
    </w:p>
    <w:p w14:paraId="32F1C9C5" w14:textId="77777777" w:rsidR="00EF1CA2" w:rsidRPr="0060714C" w:rsidRDefault="00EF1CA2" w:rsidP="00EF1CA2">
      <w:pPr>
        <w:numPr>
          <w:ilvl w:val="2"/>
          <w:numId w:val="1"/>
        </w:numPr>
      </w:pPr>
      <w:r w:rsidRPr="0060714C">
        <w:t>Abonnements Essentials (35%, 12 250€, 147 000€)</w:t>
      </w:r>
    </w:p>
    <w:p w14:paraId="00D666CF" w14:textId="77777777" w:rsidR="00EF1CA2" w:rsidRPr="0060714C" w:rsidRDefault="00EF1CA2" w:rsidP="00EF1CA2">
      <w:pPr>
        <w:numPr>
          <w:ilvl w:val="2"/>
          <w:numId w:val="1"/>
        </w:numPr>
      </w:pPr>
      <w:r w:rsidRPr="0060714C">
        <w:t>Boosts publicitaires (25%, 15 000€, 180 000€)</w:t>
      </w:r>
    </w:p>
    <w:p w14:paraId="3C32B751" w14:textId="77777777" w:rsidR="00EF1CA2" w:rsidRPr="0060714C" w:rsidRDefault="00EF1CA2" w:rsidP="00EF1CA2">
      <w:pPr>
        <w:numPr>
          <w:ilvl w:val="2"/>
          <w:numId w:val="1"/>
        </w:numPr>
      </w:pPr>
      <w:r w:rsidRPr="0060714C">
        <w:t>Services premium (15%, 6 750€, 81 000€)</w:t>
      </w:r>
    </w:p>
    <w:p w14:paraId="00AF6709" w14:textId="77777777" w:rsidR="00EF1CA2" w:rsidRPr="0060714C" w:rsidRDefault="00EF1CA2" w:rsidP="00EF1CA2">
      <w:pPr>
        <w:numPr>
          <w:ilvl w:val="2"/>
          <w:numId w:val="1"/>
        </w:numPr>
      </w:pPr>
      <w:r w:rsidRPr="0060714C">
        <w:rPr>
          <w:b/>
          <w:bCs/>
        </w:rPr>
        <w:t>TOTAL</w:t>
      </w:r>
      <w:r w:rsidRPr="0060714C">
        <w:t> (34 000€/mois, 408 000€/an, vert vif)</w:t>
      </w:r>
    </w:p>
    <w:p w14:paraId="16E279D1" w14:textId="77777777" w:rsidR="00875384" w:rsidRDefault="00875384"/>
    <w:sectPr w:rsidR="00875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87166"/>
    <w:multiLevelType w:val="multilevel"/>
    <w:tmpl w:val="5D0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4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8C"/>
    <w:rsid w:val="000D77E2"/>
    <w:rsid w:val="001B3FC4"/>
    <w:rsid w:val="00510612"/>
    <w:rsid w:val="0067758C"/>
    <w:rsid w:val="00700F2C"/>
    <w:rsid w:val="007F31BA"/>
    <w:rsid w:val="00875384"/>
    <w:rsid w:val="00E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AF69D-7A5A-458C-B218-AD4A8BBF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CA2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7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7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7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7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75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75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75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75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75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75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7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75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75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75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7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75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7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2025-06-05T10:53:00Z</dcterms:created>
  <dcterms:modified xsi:type="dcterms:W3CDTF">2025-06-05T17:41:00Z</dcterms:modified>
</cp:coreProperties>
</file>