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26DD" w14:textId="77777777" w:rsidR="00BD2411" w:rsidRPr="00517C75" w:rsidRDefault="00BD2411" w:rsidP="00BD2411">
      <w:pPr>
        <w:rPr>
          <w:noProof/>
          <w:u w:val="single"/>
        </w:rPr>
      </w:pPr>
    </w:p>
    <w:tbl>
      <w:tblPr>
        <w:tblStyle w:val="TableGrid"/>
        <w:tblpPr w:leftFromText="180" w:rightFromText="180" w:vertAnchor="page" w:horzAnchor="margin" w:tblpY="1933"/>
        <w:tblW w:w="10774" w:type="dxa"/>
        <w:tblLayout w:type="fixed"/>
        <w:tblLook w:val="04A0" w:firstRow="1" w:lastRow="0" w:firstColumn="1" w:lastColumn="0" w:noHBand="0" w:noVBand="1"/>
      </w:tblPr>
      <w:tblGrid>
        <w:gridCol w:w="2405"/>
        <w:gridCol w:w="2126"/>
        <w:gridCol w:w="6243"/>
      </w:tblGrid>
      <w:tr w:rsidR="00BD2411" w:rsidRPr="00517C75" w14:paraId="6343EF2D" w14:textId="77777777" w:rsidTr="00603774">
        <w:tc>
          <w:tcPr>
            <w:tcW w:w="2405" w:type="dxa"/>
          </w:tcPr>
          <w:p w14:paraId="0BA6EDB1" w14:textId="77777777" w:rsidR="00BD2411" w:rsidRPr="00517C75" w:rsidRDefault="00BD2411" w:rsidP="00603774">
            <w:pPr>
              <w:rPr>
                <w:b/>
              </w:rPr>
            </w:pPr>
            <w:r w:rsidRPr="00517C75">
              <w:rPr>
                <w:b/>
              </w:rPr>
              <w:t>Criteria</w:t>
            </w:r>
          </w:p>
        </w:tc>
        <w:tc>
          <w:tcPr>
            <w:tcW w:w="2126" w:type="dxa"/>
          </w:tcPr>
          <w:p w14:paraId="1DF94717" w14:textId="77777777" w:rsidR="00BD2411" w:rsidRPr="00517C75" w:rsidRDefault="00BD2411" w:rsidP="00603774">
            <w:pPr>
              <w:rPr>
                <w:b/>
              </w:rPr>
            </w:pPr>
            <w:r w:rsidRPr="00517C75">
              <w:rPr>
                <w:b/>
              </w:rPr>
              <w:t>Level</w:t>
            </w:r>
          </w:p>
        </w:tc>
        <w:tc>
          <w:tcPr>
            <w:tcW w:w="6243" w:type="dxa"/>
          </w:tcPr>
          <w:p w14:paraId="7F290223" w14:textId="77777777" w:rsidR="00BD2411" w:rsidRPr="00517C75" w:rsidRDefault="00BD2411" w:rsidP="00603774">
            <w:pPr>
              <w:rPr>
                <w:b/>
              </w:rPr>
            </w:pPr>
            <w:r w:rsidRPr="00517C75">
              <w:rPr>
                <w:b/>
              </w:rPr>
              <w:t>Comments</w:t>
            </w:r>
          </w:p>
        </w:tc>
      </w:tr>
      <w:tr w:rsidR="00BD2411" w:rsidRPr="00517C75" w14:paraId="7B12FFA5" w14:textId="77777777" w:rsidTr="00603774">
        <w:tc>
          <w:tcPr>
            <w:tcW w:w="2405" w:type="dxa"/>
          </w:tcPr>
          <w:p w14:paraId="403B71EE" w14:textId="77777777" w:rsidR="00BD2411" w:rsidRPr="00517C75" w:rsidRDefault="00BD2411" w:rsidP="00603774">
            <w:pPr>
              <w:rPr>
                <w:b/>
                <w:bCs/>
              </w:rPr>
            </w:pPr>
            <w:r w:rsidRPr="00517C75">
              <w:rPr>
                <w:b/>
                <w:bCs/>
              </w:rPr>
              <w:t>Knowledge and under-standing of the topic / issues under consideration</w:t>
            </w:r>
          </w:p>
          <w:p w14:paraId="438E9678" w14:textId="77777777" w:rsidR="00BD2411" w:rsidRPr="00517C75" w:rsidRDefault="00BD2411" w:rsidP="00603774">
            <w:pPr>
              <w:rPr>
                <w:b/>
                <w:bCs/>
              </w:rPr>
            </w:pPr>
            <w:r w:rsidRPr="00517C75">
              <w:rPr>
                <w:b/>
                <w:bCs/>
              </w:rPr>
              <w:t>(25%)</w:t>
            </w:r>
          </w:p>
        </w:tc>
        <w:tc>
          <w:tcPr>
            <w:tcW w:w="2126" w:type="dxa"/>
          </w:tcPr>
          <w:p w14:paraId="6DF30DD5" w14:textId="1F25BF8C" w:rsidR="00EF6F88" w:rsidRPr="00517C75" w:rsidRDefault="00EF6F88" w:rsidP="008B6D6E">
            <w:r>
              <w:t>Merit</w:t>
            </w:r>
          </w:p>
        </w:tc>
        <w:tc>
          <w:tcPr>
            <w:tcW w:w="6243" w:type="dxa"/>
          </w:tcPr>
          <w:p w14:paraId="599DBBB7" w14:textId="650E3FE7" w:rsidR="00C06394" w:rsidRDefault="00C06394" w:rsidP="00603774">
            <w:pPr>
              <w:jc w:val="both"/>
            </w:pPr>
            <w:r>
              <w:t xml:space="preserve">Immediate attention has been given in your document to position this as a security-focused piece of work. </w:t>
            </w:r>
          </w:p>
          <w:p w14:paraId="4A7AE023" w14:textId="77777777" w:rsidR="00C06394" w:rsidRDefault="00C06394" w:rsidP="00603774">
            <w:pPr>
              <w:jc w:val="both"/>
            </w:pPr>
          </w:p>
          <w:p w14:paraId="0F23AD06" w14:textId="79F1493D" w:rsidR="00E15B4E" w:rsidRDefault="00FA488A" w:rsidP="00603774">
            <w:pPr>
              <w:jc w:val="both"/>
            </w:pPr>
            <w:r>
              <w:t>A relatively good range of mitigation strategies described in the ‘Security risk’ table</w:t>
            </w:r>
            <w:r w:rsidR="009930C0">
              <w:t>, suitable for the domain</w:t>
            </w:r>
            <w:r>
              <w:t xml:space="preserve">. </w:t>
            </w:r>
          </w:p>
          <w:p w14:paraId="3FB3B246" w14:textId="6BCAFEDE" w:rsidR="00E15B4E" w:rsidRDefault="00E15B4E" w:rsidP="00603774">
            <w:pPr>
              <w:jc w:val="both"/>
            </w:pPr>
          </w:p>
          <w:p w14:paraId="65A089E0" w14:textId="7DC1BA2D" w:rsidR="00E15B4E" w:rsidRDefault="00FA488A" w:rsidP="00603774">
            <w:pPr>
              <w:jc w:val="both"/>
            </w:pPr>
            <w:r>
              <w:t xml:space="preserve">Interesting identification of the Model-Template-View </w:t>
            </w:r>
            <w:r w:rsidR="009930C0">
              <w:t xml:space="preserve">to support the </w:t>
            </w:r>
            <w:r>
              <w:t xml:space="preserve">architectural setup. </w:t>
            </w:r>
          </w:p>
          <w:p w14:paraId="687CE333" w14:textId="1A250302" w:rsidR="00E15B4E" w:rsidRDefault="00E15B4E" w:rsidP="00603774">
            <w:pPr>
              <w:jc w:val="both"/>
            </w:pPr>
          </w:p>
          <w:p w14:paraId="18F11149" w14:textId="1367E45B" w:rsidR="00E15B4E" w:rsidRDefault="00FA488A" w:rsidP="00603774">
            <w:pPr>
              <w:jc w:val="both"/>
            </w:pPr>
            <w:r>
              <w:t xml:space="preserve">There may be an opportunity to give some attention to the end-to-end system architecture, </w:t>
            </w:r>
            <w:r w:rsidR="009930C0">
              <w:t xml:space="preserve">using a topology diagram perhaps, which would allow an opportunity to </w:t>
            </w:r>
            <w:r>
              <w:t>demonstrat</w:t>
            </w:r>
            <w:r w:rsidR="009930C0">
              <w:t>e</w:t>
            </w:r>
            <w:r>
              <w:t xml:space="preserve"> all aspects of the attack surface. </w:t>
            </w:r>
          </w:p>
          <w:p w14:paraId="28F552C0" w14:textId="66745236" w:rsidR="00C06394" w:rsidRDefault="00C06394" w:rsidP="00603774">
            <w:pPr>
              <w:jc w:val="both"/>
            </w:pPr>
          </w:p>
          <w:p w14:paraId="1782BFE1" w14:textId="62CE9197" w:rsidR="00C06394" w:rsidRDefault="00C06394" w:rsidP="00603774">
            <w:pPr>
              <w:jc w:val="both"/>
            </w:pPr>
            <w:r>
              <w:t xml:space="preserve">There is some opportunity to discuss your approach as having a more explicit security focus. For example, is your focus on limiting the attack surface? Are you applying principles of least privilege? Will </w:t>
            </w:r>
            <w:proofErr w:type="spellStart"/>
            <w:r>
              <w:t>defense</w:t>
            </w:r>
            <w:proofErr w:type="spellEnd"/>
            <w:r>
              <w:t xml:space="preserve"> be applied in depth? </w:t>
            </w:r>
          </w:p>
          <w:p w14:paraId="29B437CE" w14:textId="77777777" w:rsidR="00C06394" w:rsidRDefault="00C06394" w:rsidP="00603774">
            <w:pPr>
              <w:jc w:val="both"/>
            </w:pPr>
          </w:p>
          <w:p w14:paraId="51851F6A" w14:textId="77777777" w:rsidR="00BD2411" w:rsidRPr="00517C75" w:rsidRDefault="00BD2411" w:rsidP="00603774">
            <w:pPr>
              <w:jc w:val="both"/>
            </w:pPr>
          </w:p>
        </w:tc>
      </w:tr>
      <w:tr w:rsidR="00BD2411" w:rsidRPr="00517C75" w14:paraId="281D3F47" w14:textId="77777777" w:rsidTr="00603774">
        <w:trPr>
          <w:trHeight w:val="1947"/>
        </w:trPr>
        <w:tc>
          <w:tcPr>
            <w:tcW w:w="2405" w:type="dxa"/>
          </w:tcPr>
          <w:p w14:paraId="22E64A7D" w14:textId="77777777" w:rsidR="00BD2411" w:rsidRPr="00517C75" w:rsidRDefault="00BD2411" w:rsidP="00603774">
            <w:pPr>
              <w:rPr>
                <w:b/>
                <w:bCs/>
              </w:rPr>
            </w:pPr>
            <w:r w:rsidRPr="00517C75">
              <w:rPr>
                <w:b/>
                <w:bCs/>
              </w:rPr>
              <w:t>Application of knowledge &amp; understanding (25%)</w:t>
            </w:r>
          </w:p>
        </w:tc>
        <w:tc>
          <w:tcPr>
            <w:tcW w:w="2126" w:type="dxa"/>
          </w:tcPr>
          <w:p w14:paraId="006F709F" w14:textId="3F21BFD2" w:rsidR="00EF6F88" w:rsidRPr="00517C75" w:rsidRDefault="00EF6F88" w:rsidP="008B6D6E">
            <w:r>
              <w:t>Merit</w:t>
            </w:r>
          </w:p>
        </w:tc>
        <w:tc>
          <w:tcPr>
            <w:tcW w:w="6243" w:type="dxa"/>
          </w:tcPr>
          <w:p w14:paraId="7207E7C7" w14:textId="73F6D74E" w:rsidR="0094383E" w:rsidRDefault="0094383E" w:rsidP="008B6D6E">
            <w:pPr>
              <w:jc w:val="both"/>
            </w:pPr>
            <w:r>
              <w:t xml:space="preserve">It is good practice to avoid describing software as being “easy to use”. Quantify it more precisely so that it may be tested </w:t>
            </w:r>
            <w:r w:rsidR="00EF6F88">
              <w:t xml:space="preserve">and demonstrated </w:t>
            </w:r>
            <w:r>
              <w:t xml:space="preserve">as </w:t>
            </w:r>
            <w:r w:rsidR="00CA2384">
              <w:t>having been achieved or not.</w:t>
            </w:r>
            <w:r>
              <w:t xml:space="preserve"> </w:t>
            </w:r>
          </w:p>
          <w:p w14:paraId="3522ADF3" w14:textId="0E780478" w:rsidR="00891FAE" w:rsidRDefault="00891FAE" w:rsidP="008B6D6E">
            <w:pPr>
              <w:jc w:val="both"/>
            </w:pPr>
          </w:p>
          <w:p w14:paraId="2D50241F" w14:textId="63EB529C" w:rsidR="00891FAE" w:rsidRDefault="00891FAE" w:rsidP="008B6D6E">
            <w:pPr>
              <w:jc w:val="both"/>
            </w:pPr>
            <w:r>
              <w:t>The use case diagram is specified in an extra layer of detail than we would typically see</w:t>
            </w:r>
            <w:r w:rsidR="009930C0">
              <w:t xml:space="preserve"> in such a model</w:t>
            </w:r>
            <w:r>
              <w:t xml:space="preserve">. </w:t>
            </w:r>
            <w:r w:rsidR="009930C0">
              <w:t>Your</w:t>
            </w:r>
            <w:r>
              <w:t xml:space="preserve"> </w:t>
            </w:r>
            <w:r w:rsidR="009930C0">
              <w:t>version</w:t>
            </w:r>
            <w:r>
              <w:t xml:space="preserve"> captures a type of decision-making, such as ‘Deny access if IP not in whitelist’, which brings it more to a type of activity diagram than use case modelling. </w:t>
            </w:r>
          </w:p>
          <w:p w14:paraId="54EBD56E" w14:textId="7667B73F" w:rsidR="00891FAE" w:rsidRDefault="00891FAE" w:rsidP="008B6D6E">
            <w:pPr>
              <w:jc w:val="both"/>
            </w:pPr>
          </w:p>
          <w:p w14:paraId="03EDE75F" w14:textId="1EC151F5" w:rsidR="00891FAE" w:rsidRDefault="00E15B4E" w:rsidP="008B6D6E">
            <w:pPr>
              <w:jc w:val="both"/>
            </w:pPr>
            <w:r>
              <w:t xml:space="preserve">There are perhaps more classes included in the class diagram than might be strictly needed e.g., </w:t>
            </w:r>
            <w:proofErr w:type="spellStart"/>
            <w:r>
              <w:t>UserType</w:t>
            </w:r>
            <w:proofErr w:type="spellEnd"/>
            <w:r>
              <w:t xml:space="preserve">, </w:t>
            </w:r>
            <w:proofErr w:type="spellStart"/>
            <w:r>
              <w:t>IPAddressesSchema</w:t>
            </w:r>
            <w:proofErr w:type="spellEnd"/>
            <w:r>
              <w:t xml:space="preserve">. It would be good to appreciate your reasoning for designing </w:t>
            </w:r>
            <w:r w:rsidR="009930C0">
              <w:t>the</w:t>
            </w:r>
            <w:r>
              <w:t xml:space="preserve"> system in this way. </w:t>
            </w:r>
          </w:p>
          <w:p w14:paraId="6896B2EC" w14:textId="7895CAAD" w:rsidR="0094383E" w:rsidRDefault="0094383E" w:rsidP="008B6D6E">
            <w:pPr>
              <w:jc w:val="both"/>
            </w:pPr>
          </w:p>
          <w:p w14:paraId="258D47DC" w14:textId="24D1332B" w:rsidR="00E15B4E" w:rsidRDefault="009930C0" w:rsidP="008B6D6E">
            <w:pPr>
              <w:jc w:val="both"/>
            </w:pPr>
            <w:r>
              <w:t>In relation to your activity diagram, w</w:t>
            </w:r>
            <w:r w:rsidR="00E15B4E">
              <w:t xml:space="preserve">ith the activity to ‘Request website from server’, I would expect to see this request being passed to the system side and the necessary content being passed back to the ‘General Public’ from here. </w:t>
            </w:r>
            <w:r w:rsidR="007511EC">
              <w:t xml:space="preserve">Label all transitions coming out of a decision node – ‘Is user input valid?’ transitions can be labelled with both ‘Yes’ and ‘No’. When an exception is returned to the ‘General Public’, what happens then? Does the user get another chance to re-enter their detail, or do they get an option to exit the system? With the activity initiating on the ‘General Public’ side, we </w:t>
            </w:r>
            <w:r w:rsidR="007511EC">
              <w:lastRenderedPageBreak/>
              <w:t xml:space="preserve">might expect it to similarly exit on the ‘General Public’ side, once the confirmation email is received. </w:t>
            </w:r>
          </w:p>
          <w:p w14:paraId="4E8C7C5E" w14:textId="7E8C044D" w:rsidR="007511EC" w:rsidRDefault="007511EC" w:rsidP="008B6D6E">
            <w:pPr>
              <w:jc w:val="both"/>
            </w:pPr>
          </w:p>
          <w:p w14:paraId="5C8DFC3A" w14:textId="54FB89E8" w:rsidR="007511EC" w:rsidRDefault="007511EC" w:rsidP="008B6D6E">
            <w:pPr>
              <w:jc w:val="both"/>
            </w:pPr>
            <w:r>
              <w:t xml:space="preserve">In relation to the activity diagram for the Operator Features model, I would similarly hope to see more transitions between the ‘Operator’ and ‘Application’ </w:t>
            </w:r>
            <w:proofErr w:type="spellStart"/>
            <w:r>
              <w:t>swimlanes</w:t>
            </w:r>
            <w:proofErr w:type="spellEnd"/>
            <w:r>
              <w:t xml:space="preserve">. For example, ‘View vulnerabilities’ would be expected to be supported from the ‘Application’ side. Same with ‘Assign to relevant government department’. It is not obvious what it means to ‘Produce report’ on the ‘Operator’ side. </w:t>
            </w:r>
            <w:r w:rsidR="009930C0">
              <w:t>Please be precise in the labels used.</w:t>
            </w:r>
          </w:p>
          <w:p w14:paraId="06726174" w14:textId="6D114547" w:rsidR="00E15B4E" w:rsidRDefault="00E15B4E" w:rsidP="008B6D6E">
            <w:pPr>
              <w:jc w:val="both"/>
            </w:pPr>
          </w:p>
          <w:p w14:paraId="4A9BA017" w14:textId="50E66A17" w:rsidR="00E15B4E" w:rsidRDefault="00C06394" w:rsidP="008B6D6E">
            <w:pPr>
              <w:jc w:val="both"/>
            </w:pPr>
            <w:r>
              <w:t xml:space="preserve">There is an opportunity to record the system features as relating to the functional and non-functional abilities. This is typical of how a software development would be considered. </w:t>
            </w:r>
          </w:p>
          <w:p w14:paraId="3280CD5F" w14:textId="77777777" w:rsidR="009930C0" w:rsidRDefault="009930C0" w:rsidP="008B6D6E">
            <w:pPr>
              <w:jc w:val="both"/>
            </w:pPr>
          </w:p>
          <w:p w14:paraId="4FE1E50F" w14:textId="4B1465EB" w:rsidR="0094383E" w:rsidRPr="00517C75" w:rsidRDefault="0094383E" w:rsidP="008B6D6E">
            <w:pPr>
              <w:jc w:val="both"/>
            </w:pPr>
          </w:p>
        </w:tc>
      </w:tr>
      <w:tr w:rsidR="00BD2411" w:rsidRPr="00517C75" w14:paraId="10C608BE" w14:textId="77777777" w:rsidTr="00603774">
        <w:tc>
          <w:tcPr>
            <w:tcW w:w="2405" w:type="dxa"/>
          </w:tcPr>
          <w:p w14:paraId="05113D92" w14:textId="77777777" w:rsidR="00BD2411" w:rsidRPr="00517C75" w:rsidRDefault="00BD2411" w:rsidP="00603774">
            <w:pPr>
              <w:rPr>
                <w:b/>
                <w:bCs/>
              </w:rPr>
            </w:pPr>
            <w:r w:rsidRPr="00517C75">
              <w:rPr>
                <w:b/>
                <w:bCs/>
              </w:rPr>
              <w:lastRenderedPageBreak/>
              <w:t xml:space="preserve">Criticality </w:t>
            </w:r>
          </w:p>
          <w:p w14:paraId="0173B50D" w14:textId="77777777" w:rsidR="00BD2411" w:rsidRPr="00517C75" w:rsidRDefault="00BD2411" w:rsidP="00603774">
            <w:pPr>
              <w:rPr>
                <w:b/>
                <w:bCs/>
              </w:rPr>
            </w:pPr>
            <w:r w:rsidRPr="00517C75">
              <w:rPr>
                <w:b/>
                <w:bCs/>
              </w:rPr>
              <w:t>(25%)</w:t>
            </w:r>
          </w:p>
        </w:tc>
        <w:tc>
          <w:tcPr>
            <w:tcW w:w="2126" w:type="dxa"/>
          </w:tcPr>
          <w:p w14:paraId="181EDD60" w14:textId="3484968A" w:rsidR="00EF6F88" w:rsidRPr="00517C75" w:rsidRDefault="00EF6F88" w:rsidP="00603774">
            <w:r>
              <w:t>Meri</w:t>
            </w:r>
            <w:r w:rsidR="009930C0">
              <w:t>t</w:t>
            </w:r>
          </w:p>
          <w:p w14:paraId="6A1FD874" w14:textId="77777777" w:rsidR="00BD2411" w:rsidRPr="00517C75" w:rsidRDefault="00BD2411" w:rsidP="00603774"/>
        </w:tc>
        <w:tc>
          <w:tcPr>
            <w:tcW w:w="6243" w:type="dxa"/>
          </w:tcPr>
          <w:p w14:paraId="2F619E9F" w14:textId="39358F41" w:rsidR="00BD2411" w:rsidRDefault="00FA488A" w:rsidP="00603774">
            <w:pPr>
              <w:jc w:val="both"/>
            </w:pPr>
            <w:r>
              <w:t xml:space="preserve">Some effective referencing applied in the opening of your document, helping to verify the argument. Please try to use as timely information sources as possible i.e., a source published in 2007 is relatively old and may be more suitably replaced with a newer source. </w:t>
            </w:r>
          </w:p>
          <w:p w14:paraId="671C9EA4" w14:textId="77777777" w:rsidR="00FA488A" w:rsidRDefault="00FA488A" w:rsidP="00603774">
            <w:pPr>
              <w:jc w:val="both"/>
            </w:pPr>
          </w:p>
          <w:p w14:paraId="2A2CD26C" w14:textId="5C6FCF31" w:rsidR="00FA488A" w:rsidRDefault="00FA488A" w:rsidP="00603774">
            <w:pPr>
              <w:jc w:val="both"/>
            </w:pPr>
            <w:r>
              <w:t>How are you planning to test your system</w:t>
            </w:r>
            <w:r w:rsidR="009930C0">
              <w:t xml:space="preserve"> so that you may critically analyse the suitability of what you have produced</w:t>
            </w:r>
            <w:r>
              <w:t>?</w:t>
            </w:r>
          </w:p>
          <w:p w14:paraId="70A600AF" w14:textId="77777777" w:rsidR="00FA488A" w:rsidRDefault="00FA488A" w:rsidP="00603774">
            <w:pPr>
              <w:jc w:val="both"/>
            </w:pPr>
          </w:p>
          <w:p w14:paraId="4F0F15D9" w14:textId="77777777" w:rsidR="00BD2411" w:rsidRPr="00517C75" w:rsidRDefault="00BD2411" w:rsidP="00603774">
            <w:pPr>
              <w:jc w:val="both"/>
            </w:pPr>
          </w:p>
        </w:tc>
      </w:tr>
      <w:tr w:rsidR="00BD2411" w:rsidRPr="00517C75" w14:paraId="6346C218" w14:textId="77777777" w:rsidTr="00603774">
        <w:tc>
          <w:tcPr>
            <w:tcW w:w="2405" w:type="dxa"/>
          </w:tcPr>
          <w:p w14:paraId="184A0B83" w14:textId="77777777" w:rsidR="00BD2411" w:rsidRPr="00517C75" w:rsidRDefault="00BD2411" w:rsidP="00603774">
            <w:pPr>
              <w:rPr>
                <w:b/>
                <w:bCs/>
              </w:rPr>
            </w:pPr>
            <w:r w:rsidRPr="00517C75">
              <w:rPr>
                <w:b/>
                <w:bCs/>
              </w:rPr>
              <w:t xml:space="preserve">Structure &amp; Presentation </w:t>
            </w:r>
          </w:p>
          <w:p w14:paraId="6BA853B0" w14:textId="77777777" w:rsidR="00BD2411" w:rsidRPr="00517C75" w:rsidRDefault="00BD2411" w:rsidP="00603774">
            <w:pPr>
              <w:rPr>
                <w:b/>
                <w:bCs/>
              </w:rPr>
            </w:pPr>
            <w:r w:rsidRPr="00517C75">
              <w:rPr>
                <w:b/>
                <w:bCs/>
              </w:rPr>
              <w:t>(25%)</w:t>
            </w:r>
          </w:p>
        </w:tc>
        <w:tc>
          <w:tcPr>
            <w:tcW w:w="2126" w:type="dxa"/>
          </w:tcPr>
          <w:p w14:paraId="218E9DFC" w14:textId="01EBC46D" w:rsidR="00EF6F88" w:rsidRPr="00517C75" w:rsidRDefault="00EF6F88" w:rsidP="008B6D6E">
            <w:pPr>
              <w:rPr>
                <w:bCs/>
              </w:rPr>
            </w:pPr>
            <w:r>
              <w:rPr>
                <w:bCs/>
              </w:rPr>
              <w:t>Merit</w:t>
            </w:r>
          </w:p>
        </w:tc>
        <w:tc>
          <w:tcPr>
            <w:tcW w:w="6243" w:type="dxa"/>
          </w:tcPr>
          <w:p w14:paraId="658BDAD7" w14:textId="03F37BCE" w:rsidR="00756558" w:rsidRDefault="00756558" w:rsidP="00603774">
            <w:pPr>
              <w:jc w:val="both"/>
            </w:pPr>
            <w:r>
              <w:t xml:space="preserve">In relation to the backend functionality – “Allow third party systems to send requests using the API” – I was not expecting this as there was little indication of this system feature prior to this. </w:t>
            </w:r>
            <w:r w:rsidR="00EF6F88">
              <w:t xml:space="preserve">What exactly does this capability mean? </w:t>
            </w:r>
          </w:p>
          <w:p w14:paraId="102E1335" w14:textId="52A38296" w:rsidR="00756558" w:rsidRDefault="00756558" w:rsidP="00603774">
            <w:pPr>
              <w:jc w:val="both"/>
            </w:pPr>
          </w:p>
          <w:p w14:paraId="65D5A662" w14:textId="37B6E805" w:rsidR="00756558" w:rsidRDefault="00756558" w:rsidP="00603774">
            <w:pPr>
              <w:jc w:val="both"/>
            </w:pPr>
            <w:r>
              <w:t xml:space="preserve">I would like to see the number of words used in this report clearly expressed. As this is an aspect of the assessment, in the sense that a penalty may be applied if the word count is exceeded, it is important that this detail is clearly reported to the marker. </w:t>
            </w:r>
          </w:p>
          <w:p w14:paraId="128340DE" w14:textId="505C489C" w:rsidR="0094383E" w:rsidRDefault="0094383E" w:rsidP="00603774">
            <w:pPr>
              <w:jc w:val="both"/>
            </w:pPr>
          </w:p>
          <w:p w14:paraId="7F5A58D7" w14:textId="146AD687" w:rsidR="0094383E" w:rsidRDefault="0094383E" w:rsidP="00603774">
            <w:pPr>
              <w:jc w:val="both"/>
            </w:pPr>
            <w:r>
              <w:t xml:space="preserve">When referring the reader to “the first activity diagram”, please ensure that a clearer </w:t>
            </w:r>
            <w:r w:rsidR="00EF6F88">
              <w:t>signpost</w:t>
            </w:r>
            <w:r>
              <w:t xml:space="preserve"> is provided, such as reference to the figure or appendix number. I have similar comments for the references made to the other artefacts in this paragraph. </w:t>
            </w:r>
          </w:p>
          <w:p w14:paraId="2480F034" w14:textId="6FB49302" w:rsidR="00756558" w:rsidRDefault="00756558" w:rsidP="00603774">
            <w:pPr>
              <w:jc w:val="both"/>
            </w:pPr>
          </w:p>
          <w:p w14:paraId="7D78A2FE" w14:textId="5E8E0EED" w:rsidR="00CA2384" w:rsidRDefault="00CA2384" w:rsidP="00603774">
            <w:pPr>
              <w:jc w:val="both"/>
            </w:pPr>
            <w:r>
              <w:t xml:space="preserve">If the design document were submitted as a MS Word document, I would be able to edit it directly. </w:t>
            </w:r>
            <w:r w:rsidR="009930C0">
              <w:t>You may wish to consider this in future submissions.</w:t>
            </w:r>
          </w:p>
          <w:p w14:paraId="0E68CD1F" w14:textId="6591C8E5" w:rsidR="00CA2384" w:rsidRDefault="00CA2384" w:rsidP="00603774">
            <w:pPr>
              <w:jc w:val="both"/>
            </w:pPr>
          </w:p>
          <w:p w14:paraId="737C045D" w14:textId="077F700D" w:rsidR="00CA2384" w:rsidRDefault="00CA2384" w:rsidP="00603774">
            <w:pPr>
              <w:jc w:val="both"/>
            </w:pPr>
            <w:r>
              <w:t>Please ensure the correct approach to referencing is applied. For example, “OWASP Top Ten (N.D.)” would instead be expressed as “OWASP Top Ten (OWASP, N.D.)”.</w:t>
            </w:r>
          </w:p>
          <w:p w14:paraId="3EFA573F" w14:textId="24F1F264" w:rsidR="00453E65" w:rsidRDefault="00453E65" w:rsidP="00603774">
            <w:pPr>
              <w:jc w:val="both"/>
            </w:pPr>
          </w:p>
          <w:p w14:paraId="70ECAC62" w14:textId="32B5B58D" w:rsidR="00453E65" w:rsidRDefault="00453E65" w:rsidP="00603774">
            <w:pPr>
              <w:jc w:val="both"/>
            </w:pPr>
            <w:r>
              <w:t xml:space="preserve">Please refer to each table used through the table number. It is convention </w:t>
            </w:r>
            <w:r w:rsidR="009930C0">
              <w:t xml:space="preserve">in academic writing </w:t>
            </w:r>
            <w:r>
              <w:t xml:space="preserve">that tables are numbered and labelled at the top of the table. </w:t>
            </w:r>
          </w:p>
          <w:p w14:paraId="27B51618" w14:textId="0A62C1B0" w:rsidR="00CA2384" w:rsidRDefault="00CA2384" w:rsidP="00603774">
            <w:pPr>
              <w:jc w:val="both"/>
            </w:pPr>
          </w:p>
          <w:p w14:paraId="09AD29F9" w14:textId="27E06648" w:rsidR="00C02BF8" w:rsidRDefault="00C02BF8" w:rsidP="00603774">
            <w:pPr>
              <w:jc w:val="both"/>
            </w:pPr>
            <w:r>
              <w:t>Please write using UK English and not American English</w:t>
            </w:r>
            <w:r w:rsidR="009930C0">
              <w:t xml:space="preserve"> - t</w:t>
            </w:r>
            <w:r w:rsidR="00FA488A">
              <w:t xml:space="preserve">his work is being assessed by a UK-based institution. </w:t>
            </w:r>
          </w:p>
          <w:p w14:paraId="00DBED67" w14:textId="09B05140" w:rsidR="00CA2384" w:rsidRDefault="00CA2384" w:rsidP="00603774">
            <w:pPr>
              <w:jc w:val="both"/>
            </w:pPr>
          </w:p>
          <w:p w14:paraId="4C29C74F" w14:textId="66C0A614" w:rsidR="00EF6F88" w:rsidRDefault="00EF6F88" w:rsidP="00603774">
            <w:pPr>
              <w:jc w:val="both"/>
            </w:pPr>
            <w:r>
              <w:t xml:space="preserve">Please number the sections so that they may be referred to directly in the feedback. </w:t>
            </w:r>
          </w:p>
          <w:p w14:paraId="07B049E0" w14:textId="77777777" w:rsidR="009930C0" w:rsidRDefault="009930C0" w:rsidP="00603774">
            <w:pPr>
              <w:jc w:val="both"/>
            </w:pPr>
          </w:p>
          <w:p w14:paraId="2D850613" w14:textId="77777777" w:rsidR="00BD2411" w:rsidRPr="00517C75" w:rsidRDefault="00BD2411" w:rsidP="00603774">
            <w:pPr>
              <w:jc w:val="both"/>
            </w:pPr>
          </w:p>
        </w:tc>
      </w:tr>
    </w:tbl>
    <w:p w14:paraId="193AA489" w14:textId="77777777" w:rsidR="00BD2411" w:rsidRDefault="00BD2411" w:rsidP="00BD2411">
      <w:pPr>
        <w:rPr>
          <w:b/>
          <w:bCs/>
        </w:rPr>
      </w:pPr>
      <w:bookmarkStart w:id="0" w:name="_Hlk42006587"/>
    </w:p>
    <w:p w14:paraId="2C90FF97" w14:textId="72754DE8" w:rsidR="00BD2411" w:rsidRPr="00517C75" w:rsidRDefault="00BD2411" w:rsidP="00BD2411">
      <w:pPr>
        <w:rPr>
          <w:b/>
          <w:bCs/>
        </w:rPr>
      </w:pPr>
      <w:r w:rsidRPr="00517C75">
        <w:rPr>
          <w:b/>
          <w:bCs/>
        </w:rPr>
        <w:t>Overall comments</w:t>
      </w:r>
      <w:r>
        <w:rPr>
          <w:b/>
          <w:bCs/>
        </w:rPr>
        <w:t>:</w:t>
      </w:r>
    </w:p>
    <w:p w14:paraId="51AA1AC6" w14:textId="77777777" w:rsidR="00BD2411" w:rsidRPr="00517C75" w:rsidRDefault="00BD2411" w:rsidP="00BD2411"/>
    <w:p w14:paraId="05D1EC62" w14:textId="2477F4ED" w:rsidR="00BD2411" w:rsidRPr="00517C75" w:rsidRDefault="00BD2411" w:rsidP="00BD2411">
      <w:r w:rsidRPr="00FB5290">
        <w:rPr>
          <w:i/>
          <w:iCs/>
        </w:rPr>
        <w:t>Positives</w:t>
      </w:r>
      <w:r w:rsidR="00BF3E74">
        <w:t>:</w:t>
      </w:r>
    </w:p>
    <w:bookmarkEnd w:id="0"/>
    <w:p w14:paraId="26C8A82C" w14:textId="32323F1A" w:rsidR="00BD2411" w:rsidRPr="00EF6F88" w:rsidRDefault="00EF6F88" w:rsidP="009930C0">
      <w:pPr>
        <w:pStyle w:val="ListParagraph"/>
        <w:numPr>
          <w:ilvl w:val="0"/>
          <w:numId w:val="23"/>
        </w:numPr>
        <w:jc w:val="both"/>
        <w:rPr>
          <w:u w:val="single"/>
        </w:rPr>
      </w:pPr>
      <w:r>
        <w:t xml:space="preserve">Good evidence of teamworking in the preparation of this report, which comes through with its consistent approach and writing style. </w:t>
      </w:r>
    </w:p>
    <w:p w14:paraId="4CAB9B51" w14:textId="334013BD" w:rsidR="00EF6F88" w:rsidRPr="00517C75" w:rsidRDefault="00EF6F88" w:rsidP="009930C0">
      <w:pPr>
        <w:pStyle w:val="ListParagraph"/>
        <w:numPr>
          <w:ilvl w:val="0"/>
          <w:numId w:val="23"/>
        </w:numPr>
        <w:jc w:val="both"/>
        <w:rPr>
          <w:u w:val="single"/>
        </w:rPr>
      </w:pPr>
      <w:r>
        <w:t xml:space="preserve">A good range of security mechanisms have been considered </w:t>
      </w:r>
      <w:r w:rsidR="00FB5290">
        <w:t xml:space="preserve">as relevant for your system. </w:t>
      </w:r>
    </w:p>
    <w:p w14:paraId="7AE85BA0" w14:textId="77777777" w:rsidR="00BD2411" w:rsidRPr="00517C75" w:rsidRDefault="00BD2411" w:rsidP="009930C0">
      <w:pPr>
        <w:jc w:val="both"/>
        <w:rPr>
          <w:u w:val="single"/>
        </w:rPr>
      </w:pPr>
    </w:p>
    <w:p w14:paraId="3F0FF971" w14:textId="663F4647" w:rsidR="00BD2411" w:rsidRPr="00517C75" w:rsidRDefault="00BF3E74" w:rsidP="009930C0">
      <w:pPr>
        <w:jc w:val="both"/>
      </w:pPr>
      <w:r w:rsidRPr="00FB5290">
        <w:rPr>
          <w:i/>
          <w:iCs/>
        </w:rPr>
        <w:t>Points for development</w:t>
      </w:r>
      <w:r>
        <w:t>:</w:t>
      </w:r>
    </w:p>
    <w:p w14:paraId="77AE12E0" w14:textId="6EB65E47" w:rsidR="00BD2411" w:rsidRDefault="00BF3E74" w:rsidP="009930C0">
      <w:pPr>
        <w:pStyle w:val="ListParagraph"/>
        <w:numPr>
          <w:ilvl w:val="0"/>
          <w:numId w:val="23"/>
        </w:numPr>
        <w:jc w:val="both"/>
      </w:pPr>
      <w:r>
        <w:t>There are a few areas in this report which I feel could benefit from some greater attention</w:t>
      </w:r>
      <w:r w:rsidR="00C06394">
        <w:t>, particularly the UML models.</w:t>
      </w:r>
    </w:p>
    <w:p w14:paraId="654BB011" w14:textId="3A38E794" w:rsidR="00C06394" w:rsidRPr="00517C75" w:rsidRDefault="00C06394" w:rsidP="009930C0">
      <w:pPr>
        <w:pStyle w:val="ListParagraph"/>
        <w:numPr>
          <w:ilvl w:val="0"/>
          <w:numId w:val="23"/>
        </w:numPr>
        <w:jc w:val="both"/>
      </w:pPr>
      <w:r>
        <w:t xml:space="preserve">The required concurrency aspects of your system could be made more explicit. I appreciate that the IP addresses associated with log-in attempts will be observed. Does this involve the two concurrent events that we hope to see? </w:t>
      </w:r>
    </w:p>
    <w:p w14:paraId="4AC6AE54" w14:textId="77777777" w:rsidR="00BD2411" w:rsidRPr="00517C75" w:rsidRDefault="00BD2411" w:rsidP="00BD2411">
      <w:pPr>
        <w:rPr>
          <w:u w:val="single"/>
        </w:rPr>
      </w:pPr>
    </w:p>
    <w:p w14:paraId="0C931AA0" w14:textId="2B1FA981" w:rsidR="00845249" w:rsidRPr="00BD2411" w:rsidRDefault="00BD2411" w:rsidP="00BD2411">
      <w:r w:rsidRPr="00517C75">
        <w:rPr>
          <w:b/>
          <w:bCs/>
        </w:rPr>
        <w:t xml:space="preserve">Overall grade: </w:t>
      </w:r>
      <w:r w:rsidR="00FB5290" w:rsidRPr="009930C0">
        <w:rPr>
          <w:i/>
          <w:iCs/>
        </w:rPr>
        <w:t>Merit</w:t>
      </w:r>
    </w:p>
    <w:sectPr w:rsidR="00845249" w:rsidRPr="00BD2411" w:rsidSect="00BD2411">
      <w:footerReference w:type="even" r:id="rId11"/>
      <w:footerReference w:type="default" r:id="rId12"/>
      <w:headerReference w:type="first" r:id="rId13"/>
      <w:footerReference w:type="first" r:id="rId14"/>
      <w:pgSz w:w="11900" w:h="16840" w:code="9"/>
      <w:pgMar w:top="720" w:right="720" w:bottom="720" w:left="72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BFD3" w14:textId="77777777" w:rsidR="007B2B8B" w:rsidRDefault="007B2B8B" w:rsidP="004D51C1">
      <w:r>
        <w:separator/>
      </w:r>
    </w:p>
  </w:endnote>
  <w:endnote w:type="continuationSeparator" w:id="0">
    <w:p w14:paraId="2CE8ECA6" w14:textId="77777777" w:rsidR="007B2B8B" w:rsidRDefault="007B2B8B"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0854592"/>
      <w:docPartObj>
        <w:docPartGallery w:val="Page Numbers (Bottom of Page)"/>
        <w:docPartUnique/>
      </w:docPartObj>
    </w:sdtPr>
    <w:sdtContent>
      <w:p w14:paraId="65B28FB6" w14:textId="44D990A2" w:rsidR="00656F27" w:rsidRDefault="00656F27" w:rsidP="006D02F9">
        <w:pP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745429">
          <w:rPr>
            <w:rStyle w:val="PageNumber"/>
            <w:noProof/>
          </w:rPr>
          <w:t>2</w:t>
        </w:r>
        <w:r>
          <w:rPr>
            <w:rStyle w:val="PageNumber"/>
          </w:rPr>
          <w:fldChar w:fldCharType="end"/>
        </w:r>
      </w:p>
    </w:sdtContent>
  </w:sdt>
  <w:p w14:paraId="31B50F79" w14:textId="77777777" w:rsidR="00656F27" w:rsidRDefault="00656F27" w:rsidP="00656F27">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color w:val="FFFFFF" w:themeColor="background1"/>
      </w:rPr>
      <w:id w:val="1895692475"/>
      <w:docPartObj>
        <w:docPartGallery w:val="Page Numbers (Bottom of Page)"/>
        <w:docPartUnique/>
      </w:docPartObj>
    </w:sdtPr>
    <w:sdtContent>
      <w:p w14:paraId="2FA42741" w14:textId="43D2B7A1" w:rsidR="00656F27" w:rsidRPr="00656F27" w:rsidRDefault="00656F27" w:rsidP="00656F27">
        <w:pPr>
          <w:framePr w:wrap="none" w:vAnchor="text" w:hAnchor="page" w:x="481" w:y="82"/>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Pr="00656F2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702459B9" w14:textId="77777777" w:rsidR="00656F27" w:rsidRDefault="00656F27" w:rsidP="00656F27">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b/>
        <w:color w:val="FFFFFF" w:themeColor="background1"/>
      </w:rPr>
      <w:id w:val="810594583"/>
      <w:docPartObj>
        <w:docPartGallery w:val="Page Numbers (Bottom of Page)"/>
        <w:docPartUnique/>
      </w:docPartObj>
    </w:sdtPr>
    <w:sdtContent>
      <w:p w14:paraId="7B6D048D" w14:textId="77777777" w:rsidR="000F2086" w:rsidRPr="00656F27" w:rsidRDefault="000F2086" w:rsidP="000F2086">
        <w:pPr>
          <w:framePr w:wrap="none" w:vAnchor="text" w:hAnchor="page" w:x="496" w:y="108"/>
          <w:rPr>
            <w:rStyle w:val="PageNumber"/>
            <w:rFonts w:ascii="Arial" w:hAnsi="Arial" w:cs="Arial"/>
            <w:b/>
            <w:color w:val="FFFFFF" w:themeColor="background1"/>
          </w:rPr>
        </w:pP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2</w:t>
        </w:r>
        <w:r w:rsidRPr="00656F27">
          <w:rPr>
            <w:rStyle w:val="PageNumber"/>
            <w:rFonts w:ascii="Arial" w:hAnsi="Arial" w:cs="Arial"/>
            <w:b/>
            <w:color w:val="FFFFFF" w:themeColor="background1"/>
          </w:rPr>
          <w:fldChar w:fldCharType="end"/>
        </w:r>
      </w:p>
    </w:sdtContent>
  </w:sdt>
  <w:p w14:paraId="6A54E8D9" w14:textId="77777777" w:rsidR="000F2086" w:rsidRDefault="000F2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B39CC" w14:textId="77777777" w:rsidR="007B2B8B" w:rsidRDefault="007B2B8B" w:rsidP="004D51C1">
      <w:r>
        <w:separator/>
      </w:r>
    </w:p>
  </w:footnote>
  <w:footnote w:type="continuationSeparator" w:id="0">
    <w:p w14:paraId="518BAA1E" w14:textId="77777777" w:rsidR="007B2B8B" w:rsidRDefault="007B2B8B" w:rsidP="004D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A62DD" w14:textId="77777777" w:rsidR="00BD2411" w:rsidRDefault="00BD2411">
    <w:pPr>
      <w:pStyle w:val="Header"/>
      <w:rPr>
        <w:b/>
        <w:bCs/>
      </w:rPr>
    </w:pPr>
  </w:p>
  <w:p w14:paraId="0D851748" w14:textId="48334442" w:rsidR="001A4A57" w:rsidRDefault="001A4A57">
    <w:pPr>
      <w:pStyle w:val="Header"/>
    </w:pPr>
    <w:r w:rsidRPr="006B6AEB">
      <w:rPr>
        <w:b/>
        <w:bCs/>
      </w:rPr>
      <w:t>Team</w:t>
    </w:r>
    <w:r>
      <w:t xml:space="preserve">: </w:t>
    </w:r>
    <w:r w:rsidR="008B6D6E" w:rsidRPr="008B6D6E">
      <w:t xml:space="preserve">Cyber-Savvy Board </w:t>
    </w:r>
    <w:r w:rsidR="005F03CF">
      <w:t>(1)</w:t>
    </w:r>
  </w:p>
  <w:p w14:paraId="06545508" w14:textId="2A86CF85" w:rsidR="001A4A57" w:rsidRDefault="001A4A57">
    <w:pPr>
      <w:pStyle w:val="Header"/>
    </w:pPr>
    <w:r w:rsidRPr="006B6AEB">
      <w:rPr>
        <w:b/>
        <w:bCs/>
      </w:rPr>
      <w:t>Team member</w:t>
    </w:r>
    <w:r w:rsidR="00C45873" w:rsidRPr="006B6AEB">
      <w:rPr>
        <w:b/>
        <w:bCs/>
      </w:rPr>
      <w:t>s</w:t>
    </w:r>
    <w:r w:rsidR="00C45873">
      <w:t xml:space="preserve">: </w:t>
    </w:r>
    <w:r w:rsidR="00422902">
      <w:t xml:space="preserve">Gianluca </w:t>
    </w:r>
    <w:proofErr w:type="spellStart"/>
    <w:r w:rsidR="00422902">
      <w:t>Cannone</w:t>
    </w:r>
    <w:proofErr w:type="spellEnd"/>
    <w:r w:rsidR="00422902">
      <w:t xml:space="preserve">, Old </w:t>
    </w:r>
    <w:proofErr w:type="spellStart"/>
    <w:r w:rsidR="00422902">
      <w:t>Durowoju</w:t>
    </w:r>
    <w:proofErr w:type="spellEnd"/>
    <w:r w:rsidR="00422902">
      <w:t xml:space="preserve">, </w:t>
    </w:r>
    <w:proofErr w:type="spellStart"/>
    <w:r w:rsidR="00422902">
      <w:t>Etkin</w:t>
    </w:r>
    <w:proofErr w:type="spellEnd"/>
    <w:r w:rsidR="00422902">
      <w:t xml:space="preserve"> </w:t>
    </w:r>
    <w:proofErr w:type="spellStart"/>
    <w:r w:rsidR="00422902">
      <w:t>Getir</w:t>
    </w:r>
    <w:proofErr w:type="spellEnd"/>
    <w:r w:rsidR="00422902">
      <w:t xml:space="preserve">, Mustafa </w:t>
    </w:r>
    <w:proofErr w:type="spellStart"/>
    <w:r w:rsidR="00422902">
      <w:t>Sibai</w:t>
    </w:r>
    <w:proofErr w:type="spellEnd"/>
    <w:r w:rsidR="00422902">
      <w:t>, Aaron Willis</w:t>
    </w:r>
  </w:p>
  <w:p w14:paraId="7DB2CE90" w14:textId="023B7130" w:rsidR="001A4A57" w:rsidRDefault="001A4A57">
    <w:pPr>
      <w:pStyle w:val="Header"/>
    </w:pPr>
    <w:r w:rsidRPr="006B6AEB">
      <w:rPr>
        <w:b/>
        <w:bCs/>
      </w:rPr>
      <w:t>Marker</w:t>
    </w:r>
    <w:r>
      <w:t>: Dr Cathryn Peoples</w:t>
    </w:r>
  </w:p>
  <w:p w14:paraId="3D71E03B" w14:textId="6D93457C" w:rsidR="001A4A57" w:rsidRDefault="001A4A57">
    <w:pPr>
      <w:pStyle w:val="Header"/>
    </w:pPr>
    <w:r w:rsidRPr="006B6AEB">
      <w:rPr>
        <w:b/>
        <w:bCs/>
      </w:rPr>
      <w:t>Date</w:t>
    </w:r>
    <w:r>
      <w:t xml:space="preserve">: </w:t>
    </w:r>
    <w:r w:rsidR="008B6D6E">
      <w:t>September</w:t>
    </w:r>
    <w:r w:rsidR="004A14C2">
      <w:t xml:space="preserve"> </w:t>
    </w:r>
    <w:r>
      <w:t>202</w:t>
    </w:r>
    <w:r w:rsidR="00E16D5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B4CD5"/>
    <w:multiLevelType w:val="hybridMultilevel"/>
    <w:tmpl w:val="A14E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60A8B"/>
    <w:multiLevelType w:val="hybridMultilevel"/>
    <w:tmpl w:val="267A7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062519"/>
    <w:multiLevelType w:val="hybridMultilevel"/>
    <w:tmpl w:val="C98A3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C2303A"/>
    <w:multiLevelType w:val="hybridMultilevel"/>
    <w:tmpl w:val="690E9C60"/>
    <w:lvl w:ilvl="0" w:tplc="A6EE7A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2E2F1E"/>
    <w:multiLevelType w:val="hybridMultilevel"/>
    <w:tmpl w:val="B36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9382215">
    <w:abstractNumId w:val="8"/>
  </w:num>
  <w:num w:numId="2" w16cid:durableId="1253781222">
    <w:abstractNumId w:val="13"/>
  </w:num>
  <w:num w:numId="3" w16cid:durableId="1398211913">
    <w:abstractNumId w:val="16"/>
  </w:num>
  <w:num w:numId="4" w16cid:durableId="1574119174">
    <w:abstractNumId w:val="0"/>
  </w:num>
  <w:num w:numId="5" w16cid:durableId="1210991099">
    <w:abstractNumId w:val="20"/>
  </w:num>
  <w:num w:numId="6" w16cid:durableId="53087215">
    <w:abstractNumId w:val="1"/>
  </w:num>
  <w:num w:numId="7" w16cid:durableId="556627808">
    <w:abstractNumId w:val="3"/>
  </w:num>
  <w:num w:numId="8" w16cid:durableId="917599238">
    <w:abstractNumId w:val="12"/>
  </w:num>
  <w:num w:numId="9" w16cid:durableId="1720399787">
    <w:abstractNumId w:val="10"/>
  </w:num>
  <w:num w:numId="10" w16cid:durableId="1499030866">
    <w:abstractNumId w:val="17"/>
  </w:num>
  <w:num w:numId="11" w16cid:durableId="1186215820">
    <w:abstractNumId w:val="15"/>
  </w:num>
  <w:num w:numId="12" w16cid:durableId="278684681">
    <w:abstractNumId w:val="19"/>
  </w:num>
  <w:num w:numId="13" w16cid:durableId="2128306923">
    <w:abstractNumId w:val="11"/>
  </w:num>
  <w:num w:numId="14" w16cid:durableId="1216812776">
    <w:abstractNumId w:val="9"/>
  </w:num>
  <w:num w:numId="15" w16cid:durableId="1533151575">
    <w:abstractNumId w:val="4"/>
  </w:num>
  <w:num w:numId="16" w16cid:durableId="101462399">
    <w:abstractNumId w:val="2"/>
  </w:num>
  <w:num w:numId="17" w16cid:durableId="1729763513">
    <w:abstractNumId w:val="14"/>
  </w:num>
  <w:num w:numId="18" w16cid:durableId="2139759270">
    <w:abstractNumId w:val="5"/>
  </w:num>
  <w:num w:numId="19" w16cid:durableId="1772503301">
    <w:abstractNumId w:val="7"/>
  </w:num>
  <w:num w:numId="20" w16cid:durableId="1876313211">
    <w:abstractNumId w:val="18"/>
  </w:num>
  <w:num w:numId="21" w16cid:durableId="1666323340">
    <w:abstractNumId w:val="5"/>
  </w:num>
  <w:num w:numId="22" w16cid:durableId="779497034">
    <w:abstractNumId w:val="21"/>
  </w:num>
  <w:num w:numId="23" w16cid:durableId="482620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C1"/>
    <w:rsid w:val="00032419"/>
    <w:rsid w:val="00047441"/>
    <w:rsid w:val="00047EB9"/>
    <w:rsid w:val="00061FE1"/>
    <w:rsid w:val="0007684C"/>
    <w:rsid w:val="00097146"/>
    <w:rsid w:val="000A3F78"/>
    <w:rsid w:val="000C15A4"/>
    <w:rsid w:val="000F2086"/>
    <w:rsid w:val="00115BF8"/>
    <w:rsid w:val="001308F6"/>
    <w:rsid w:val="00143EC4"/>
    <w:rsid w:val="001544A4"/>
    <w:rsid w:val="00160DA3"/>
    <w:rsid w:val="00176F02"/>
    <w:rsid w:val="001A285B"/>
    <w:rsid w:val="001A4A57"/>
    <w:rsid w:val="001A6270"/>
    <w:rsid w:val="001D4679"/>
    <w:rsid w:val="001E7A02"/>
    <w:rsid w:val="002049FD"/>
    <w:rsid w:val="00224390"/>
    <w:rsid w:val="002376FB"/>
    <w:rsid w:val="0024179F"/>
    <w:rsid w:val="00252AAC"/>
    <w:rsid w:val="00257128"/>
    <w:rsid w:val="00291112"/>
    <w:rsid w:val="002A2B30"/>
    <w:rsid w:val="002A7D35"/>
    <w:rsid w:val="002B5184"/>
    <w:rsid w:val="002C353E"/>
    <w:rsid w:val="002C4123"/>
    <w:rsid w:val="002E1368"/>
    <w:rsid w:val="003000B3"/>
    <w:rsid w:val="00320ACF"/>
    <w:rsid w:val="00333C7E"/>
    <w:rsid w:val="003A1806"/>
    <w:rsid w:val="003B7717"/>
    <w:rsid w:val="003C28ED"/>
    <w:rsid w:val="003C4D9A"/>
    <w:rsid w:val="003D1B29"/>
    <w:rsid w:val="003D71C1"/>
    <w:rsid w:val="003E25CB"/>
    <w:rsid w:val="003E5C46"/>
    <w:rsid w:val="003F06CD"/>
    <w:rsid w:val="004178F7"/>
    <w:rsid w:val="00417C9A"/>
    <w:rsid w:val="00420460"/>
    <w:rsid w:val="00422902"/>
    <w:rsid w:val="0043076C"/>
    <w:rsid w:val="00433CA3"/>
    <w:rsid w:val="00445932"/>
    <w:rsid w:val="004460A1"/>
    <w:rsid w:val="00453E65"/>
    <w:rsid w:val="00454D61"/>
    <w:rsid w:val="004571BE"/>
    <w:rsid w:val="00462ED8"/>
    <w:rsid w:val="00470806"/>
    <w:rsid w:val="00476C93"/>
    <w:rsid w:val="004A14C2"/>
    <w:rsid w:val="004A44D0"/>
    <w:rsid w:val="004C40C9"/>
    <w:rsid w:val="004D1CB6"/>
    <w:rsid w:val="004D3172"/>
    <w:rsid w:val="004D4DF7"/>
    <w:rsid w:val="004D51C1"/>
    <w:rsid w:val="004F0B5A"/>
    <w:rsid w:val="00517C75"/>
    <w:rsid w:val="00551C16"/>
    <w:rsid w:val="0055794E"/>
    <w:rsid w:val="00573C9A"/>
    <w:rsid w:val="0058042E"/>
    <w:rsid w:val="00591D03"/>
    <w:rsid w:val="005F03CF"/>
    <w:rsid w:val="0060707D"/>
    <w:rsid w:val="00644FEA"/>
    <w:rsid w:val="00656F27"/>
    <w:rsid w:val="006640BC"/>
    <w:rsid w:val="00686835"/>
    <w:rsid w:val="006A2453"/>
    <w:rsid w:val="006B6AEB"/>
    <w:rsid w:val="006D50D4"/>
    <w:rsid w:val="006E1097"/>
    <w:rsid w:val="006E3D29"/>
    <w:rsid w:val="006E775A"/>
    <w:rsid w:val="0072731A"/>
    <w:rsid w:val="00745429"/>
    <w:rsid w:val="007511EC"/>
    <w:rsid w:val="00756558"/>
    <w:rsid w:val="00760D16"/>
    <w:rsid w:val="0077352C"/>
    <w:rsid w:val="00785B4B"/>
    <w:rsid w:val="00794F3B"/>
    <w:rsid w:val="007B2B8B"/>
    <w:rsid w:val="007C0AAD"/>
    <w:rsid w:val="007C665C"/>
    <w:rsid w:val="007F3E47"/>
    <w:rsid w:val="007F6082"/>
    <w:rsid w:val="00845249"/>
    <w:rsid w:val="00847472"/>
    <w:rsid w:val="0085679C"/>
    <w:rsid w:val="0086395D"/>
    <w:rsid w:val="00891FAE"/>
    <w:rsid w:val="008B6D6E"/>
    <w:rsid w:val="008C7919"/>
    <w:rsid w:val="008E4C5A"/>
    <w:rsid w:val="008F6F25"/>
    <w:rsid w:val="0092429E"/>
    <w:rsid w:val="00931998"/>
    <w:rsid w:val="00936866"/>
    <w:rsid w:val="00936C9A"/>
    <w:rsid w:val="0093743E"/>
    <w:rsid w:val="0094383E"/>
    <w:rsid w:val="009930C0"/>
    <w:rsid w:val="009A07B1"/>
    <w:rsid w:val="009A0EF9"/>
    <w:rsid w:val="009A256F"/>
    <w:rsid w:val="009A4900"/>
    <w:rsid w:val="009B504C"/>
    <w:rsid w:val="009F7372"/>
    <w:rsid w:val="00A110E8"/>
    <w:rsid w:val="00A368A1"/>
    <w:rsid w:val="00A564CA"/>
    <w:rsid w:val="00A91E79"/>
    <w:rsid w:val="00AA2EC8"/>
    <w:rsid w:val="00AB51CB"/>
    <w:rsid w:val="00AC0B64"/>
    <w:rsid w:val="00AC2E82"/>
    <w:rsid w:val="00AC6839"/>
    <w:rsid w:val="00B1194E"/>
    <w:rsid w:val="00B1702A"/>
    <w:rsid w:val="00B355A4"/>
    <w:rsid w:val="00B5733A"/>
    <w:rsid w:val="00B638B0"/>
    <w:rsid w:val="00B76E38"/>
    <w:rsid w:val="00B9162C"/>
    <w:rsid w:val="00B96581"/>
    <w:rsid w:val="00BA2506"/>
    <w:rsid w:val="00BB27B6"/>
    <w:rsid w:val="00BB7FE6"/>
    <w:rsid w:val="00BC0B9A"/>
    <w:rsid w:val="00BD2411"/>
    <w:rsid w:val="00BE1772"/>
    <w:rsid w:val="00BF0BC1"/>
    <w:rsid w:val="00BF3E74"/>
    <w:rsid w:val="00BF58DB"/>
    <w:rsid w:val="00C02BF8"/>
    <w:rsid w:val="00C06394"/>
    <w:rsid w:val="00C10F2D"/>
    <w:rsid w:val="00C20A1C"/>
    <w:rsid w:val="00C27DF3"/>
    <w:rsid w:val="00C45873"/>
    <w:rsid w:val="00C62EEA"/>
    <w:rsid w:val="00C71005"/>
    <w:rsid w:val="00C9191B"/>
    <w:rsid w:val="00CA0288"/>
    <w:rsid w:val="00CA2384"/>
    <w:rsid w:val="00CB454B"/>
    <w:rsid w:val="00CF7496"/>
    <w:rsid w:val="00D0278C"/>
    <w:rsid w:val="00D05CB3"/>
    <w:rsid w:val="00D332D7"/>
    <w:rsid w:val="00D55D9D"/>
    <w:rsid w:val="00D737E5"/>
    <w:rsid w:val="00D8435C"/>
    <w:rsid w:val="00DA3C47"/>
    <w:rsid w:val="00DA76D5"/>
    <w:rsid w:val="00DB28CA"/>
    <w:rsid w:val="00DD5EC0"/>
    <w:rsid w:val="00DF0220"/>
    <w:rsid w:val="00E04847"/>
    <w:rsid w:val="00E0504E"/>
    <w:rsid w:val="00E10D5B"/>
    <w:rsid w:val="00E15B4E"/>
    <w:rsid w:val="00E16D5C"/>
    <w:rsid w:val="00E40E01"/>
    <w:rsid w:val="00E61AE0"/>
    <w:rsid w:val="00E64034"/>
    <w:rsid w:val="00E67142"/>
    <w:rsid w:val="00E73CC3"/>
    <w:rsid w:val="00E74994"/>
    <w:rsid w:val="00E9209E"/>
    <w:rsid w:val="00EA67D5"/>
    <w:rsid w:val="00EC23E1"/>
    <w:rsid w:val="00EF6F88"/>
    <w:rsid w:val="00F01A88"/>
    <w:rsid w:val="00F22C2F"/>
    <w:rsid w:val="00F269E7"/>
    <w:rsid w:val="00F4437F"/>
    <w:rsid w:val="00F52A76"/>
    <w:rsid w:val="00F6192E"/>
    <w:rsid w:val="00F6399F"/>
    <w:rsid w:val="00F93B52"/>
    <w:rsid w:val="00FA1495"/>
    <w:rsid w:val="00FA488A"/>
    <w:rsid w:val="00FA6919"/>
    <w:rsid w:val="00FB3F67"/>
    <w:rsid w:val="00FB5290"/>
    <w:rsid w:val="00FD3FFA"/>
    <w:rsid w:val="00FE3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CB3"/>
    <w:pPr>
      <w:tabs>
        <w:tab w:val="center" w:pos="4513"/>
        <w:tab w:val="right" w:pos="9026"/>
      </w:tabs>
    </w:pPr>
  </w:style>
  <w:style w:type="character" w:customStyle="1" w:styleId="HeaderChar">
    <w:name w:val="Header Char"/>
    <w:basedOn w:val="DefaultParagraphFont"/>
    <w:link w:val="Header"/>
    <w:uiPriority w:val="99"/>
    <w:rsid w:val="00D05CB3"/>
  </w:style>
  <w:style w:type="paragraph" w:styleId="Footer">
    <w:name w:val="footer"/>
    <w:basedOn w:val="Normal"/>
    <w:link w:val="FooterChar"/>
    <w:uiPriority w:val="99"/>
    <w:unhideWhenUsed/>
    <w:rsid w:val="00D05CB3"/>
    <w:pPr>
      <w:tabs>
        <w:tab w:val="center" w:pos="4513"/>
        <w:tab w:val="right" w:pos="9026"/>
      </w:tabs>
    </w:pPr>
  </w:style>
  <w:style w:type="character" w:customStyle="1" w:styleId="FooterChar">
    <w:name w:val="Footer Char"/>
    <w:basedOn w:val="DefaultParagraphFont"/>
    <w:link w:val="Footer"/>
    <w:uiPriority w:val="99"/>
    <w:rsid w:val="00D05CB3"/>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character" w:styleId="PlaceholderText">
    <w:name w:val="Placeholder Text"/>
    <w:basedOn w:val="DefaultParagraphFont"/>
    <w:uiPriority w:val="99"/>
    <w:semiHidden/>
    <w:rsid w:val="0024179F"/>
    <w:rPr>
      <w:color w:val="808080"/>
    </w:rPr>
  </w:style>
  <w:style w:type="paragraph" w:customStyle="1" w:styleId="UoeonlineBullets">
    <w:name w:val="Uoe_online_Bullets"/>
    <w:basedOn w:val="Normal"/>
    <w:qFormat/>
    <w:rsid w:val="00AC6839"/>
    <w:pPr>
      <w:numPr>
        <w:numId w:val="17"/>
      </w:numPr>
      <w:contextualSpacing/>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table" w:styleId="TableGrid">
    <w:name w:val="Table Grid"/>
    <w:basedOn w:val="TableNormal"/>
    <w:uiPriority w:val="3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paragraph" w:styleId="ListParagraph">
    <w:name w:val="List Paragraph"/>
    <w:basedOn w:val="Normal"/>
    <w:uiPriority w:val="34"/>
    <w:qFormat/>
    <w:rsid w:val="00C62EEA"/>
    <w:pPr>
      <w:ind w:left="720"/>
      <w:contextualSpacing/>
    </w:pPr>
  </w:style>
  <w:style w:type="character" w:styleId="Hyperlink">
    <w:name w:val="Hyperlink"/>
    <w:basedOn w:val="DefaultParagraphFont"/>
    <w:uiPriority w:val="99"/>
    <w:unhideWhenUsed/>
    <w:rsid w:val="009F7372"/>
    <w:rPr>
      <w:color w:val="0563C1" w:themeColor="hyperlink"/>
      <w:u w:val="single"/>
    </w:rPr>
  </w:style>
  <w:style w:type="character" w:styleId="UnresolvedMention">
    <w:name w:val="Unresolved Mention"/>
    <w:basedOn w:val="DefaultParagraphFont"/>
    <w:uiPriority w:val="99"/>
    <w:semiHidden/>
    <w:unhideWhenUsed/>
    <w:rsid w:val="009F73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298580">
      <w:bodyDiv w:val="1"/>
      <w:marLeft w:val="0"/>
      <w:marRight w:val="0"/>
      <w:marTop w:val="0"/>
      <w:marBottom w:val="0"/>
      <w:divBdr>
        <w:top w:val="none" w:sz="0" w:space="0" w:color="auto"/>
        <w:left w:val="none" w:sz="0" w:space="0" w:color="auto"/>
        <w:bottom w:val="none" w:sz="0" w:space="0" w:color="auto"/>
        <w:right w:val="none" w:sz="0" w:space="0" w:color="auto"/>
      </w:divBdr>
    </w:div>
    <w:div w:id="1065764448">
      <w:bodyDiv w:val="1"/>
      <w:marLeft w:val="0"/>
      <w:marRight w:val="0"/>
      <w:marTop w:val="0"/>
      <w:marBottom w:val="0"/>
      <w:divBdr>
        <w:top w:val="none" w:sz="0" w:space="0" w:color="auto"/>
        <w:left w:val="none" w:sz="0" w:space="0" w:color="auto"/>
        <w:bottom w:val="none" w:sz="0" w:space="0" w:color="auto"/>
        <w:right w:val="none" w:sz="0" w:space="0" w:color="auto"/>
      </w:divBdr>
    </w:div>
    <w:div w:id="1216357488">
      <w:bodyDiv w:val="1"/>
      <w:marLeft w:val="0"/>
      <w:marRight w:val="0"/>
      <w:marTop w:val="0"/>
      <w:marBottom w:val="0"/>
      <w:divBdr>
        <w:top w:val="none" w:sz="0" w:space="0" w:color="auto"/>
        <w:left w:val="none" w:sz="0" w:space="0" w:color="auto"/>
        <w:bottom w:val="none" w:sz="0" w:space="0" w:color="auto"/>
        <w:right w:val="none" w:sz="0" w:space="0" w:color="auto"/>
      </w:divBdr>
    </w:div>
    <w:div w:id="1219365221">
      <w:bodyDiv w:val="1"/>
      <w:marLeft w:val="0"/>
      <w:marRight w:val="0"/>
      <w:marTop w:val="0"/>
      <w:marBottom w:val="0"/>
      <w:divBdr>
        <w:top w:val="none" w:sz="0" w:space="0" w:color="auto"/>
        <w:left w:val="none" w:sz="0" w:space="0" w:color="auto"/>
        <w:bottom w:val="none" w:sz="0" w:space="0" w:color="auto"/>
        <w:right w:val="none" w:sz="0" w:space="0" w:color="auto"/>
      </w:divBdr>
    </w:div>
    <w:div w:id="1474714578">
      <w:bodyDiv w:val="1"/>
      <w:marLeft w:val="0"/>
      <w:marRight w:val="0"/>
      <w:marTop w:val="0"/>
      <w:marBottom w:val="0"/>
      <w:divBdr>
        <w:top w:val="none" w:sz="0" w:space="0" w:color="auto"/>
        <w:left w:val="none" w:sz="0" w:space="0" w:color="auto"/>
        <w:bottom w:val="none" w:sz="0" w:space="0" w:color="auto"/>
        <w:right w:val="none" w:sz="0" w:space="0" w:color="auto"/>
      </w:divBdr>
    </w:div>
    <w:div w:id="157974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5E6ADB828A3B4BAA92CE75E5B60BED" ma:contentTypeVersion="12" ma:contentTypeDescription="Create a new document." ma:contentTypeScope="" ma:versionID="2a3670e0f5a2035182128cc0b27a5501">
  <xsd:schema xmlns:xsd="http://www.w3.org/2001/XMLSchema" xmlns:xs="http://www.w3.org/2001/XMLSchema" xmlns:p="http://schemas.microsoft.com/office/2006/metadata/properties" xmlns:ns3="780db02b-2578-41b7-abdd-32f258e670d0" xmlns:ns4="80a66ff8-1ea0-4e2b-b2b7-fbf4862d0eb9" targetNamespace="http://schemas.microsoft.com/office/2006/metadata/properties" ma:root="true" ma:fieldsID="68288fd10f27cbbf87c51915d031e12e" ns3:_="" ns4:_="">
    <xsd:import namespace="780db02b-2578-41b7-abdd-32f258e670d0"/>
    <xsd:import namespace="80a66ff8-1ea0-4e2b-b2b7-fbf4862d0e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db02b-2578-41b7-abdd-32f258e67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a66ff8-1ea0-4e2b-b2b7-fbf4862d0eb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B6A16A-2626-4F2C-B543-F3369A0A581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EA0E0-C7C7-46B0-AD9E-906EAA529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db02b-2578-41b7-abdd-32f258e670d0"/>
    <ds:schemaRef ds:uri="80a66ff8-1ea0-4e2b-b2b7-fbf4862d0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245E7-A012-49EF-A11F-393AE5A82E3F}">
  <ds:schemaRefs>
    <ds:schemaRef ds:uri="http://schemas.openxmlformats.org/officeDocument/2006/bibliography"/>
  </ds:schemaRefs>
</ds:datastoreItem>
</file>

<file path=customXml/itemProps4.xml><?xml version="1.0" encoding="utf-8"?>
<ds:datastoreItem xmlns:ds="http://schemas.openxmlformats.org/officeDocument/2006/customXml" ds:itemID="{691F9C07-18F2-4A70-9D0E-53B5ED1DB5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Cathryn Peoples</cp:lastModifiedBy>
  <cp:revision>3</cp:revision>
  <dcterms:created xsi:type="dcterms:W3CDTF">2022-11-02T11:42:00Z</dcterms:created>
  <dcterms:modified xsi:type="dcterms:W3CDTF">2022-11-02T11:50:00Z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0x010100BA5E6ADB828A3B4BAA92CE75E5B60BED</vt:lpwstr>
  </property>
</Properties>
</file>