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80B0" w14:textId="77777777" w:rsidR="004B44DC" w:rsidRPr="004B44DC" w:rsidRDefault="004B44DC" w:rsidP="004B44DC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4B44DC">
        <w:rPr>
          <w:rFonts w:ascii="Arial" w:hAnsi="Arial" w:cs="Arial"/>
          <w:b/>
          <w:bCs/>
          <w:color w:val="FF0000"/>
          <w:sz w:val="24"/>
          <w:szCs w:val="24"/>
        </w:rPr>
        <w:t>Localización del proyecto</w:t>
      </w:r>
    </w:p>
    <w:p w14:paraId="3103A818" w14:textId="50CAB23B" w:rsidR="004B44DC" w:rsidRPr="004B44DC" w:rsidRDefault="004B44DC" w:rsidP="004B44DC">
      <w:pPr>
        <w:jc w:val="both"/>
        <w:rPr>
          <w:rFonts w:ascii="Arial" w:hAnsi="Arial" w:cs="Arial"/>
          <w:sz w:val="24"/>
          <w:szCs w:val="24"/>
        </w:rPr>
      </w:pPr>
      <w:r w:rsidRPr="004B44DC">
        <w:rPr>
          <w:rFonts w:ascii="Arial" w:hAnsi="Arial" w:cs="Arial"/>
          <w:sz w:val="24"/>
          <w:szCs w:val="24"/>
        </w:rPr>
        <w:t xml:space="preserve">El proyecto de la papelería universitaria se ubicará en la </w:t>
      </w:r>
      <w:r w:rsidRPr="004B44DC">
        <w:rPr>
          <w:rFonts w:ascii="Arial" w:hAnsi="Arial" w:cs="Arial"/>
          <w:b/>
          <w:bCs/>
          <w:sz w:val="24"/>
          <w:szCs w:val="24"/>
        </w:rPr>
        <w:t>Facultad de Negocios y Tecnologías de la Universidad Veracruzana</w:t>
      </w:r>
      <w:r w:rsidRPr="004B44DC">
        <w:rPr>
          <w:rFonts w:ascii="Arial" w:hAnsi="Arial" w:cs="Arial"/>
          <w:sz w:val="24"/>
          <w:szCs w:val="24"/>
        </w:rPr>
        <w:t xml:space="preserve">, situada en la Carretera Estatal Sumidero – Dos Ríos, Km 1. Esta localización es estratégica, ya que se encuentra dentro del campus y permite atender directamente las necesidades de estudiantes, docentes y personal administrativo, que conforman el público objetivo principal </w:t>
      </w:r>
      <w:r w:rsidR="00672520">
        <w:rPr>
          <w:rFonts w:ascii="Arial" w:hAnsi="Arial" w:cs="Arial"/>
          <w:sz w:val="24"/>
          <w:szCs w:val="24"/>
        </w:rPr>
        <w:t>de la papelería</w:t>
      </w:r>
      <w:r w:rsidRPr="004B44DC">
        <w:rPr>
          <w:rFonts w:ascii="Arial" w:hAnsi="Arial" w:cs="Arial"/>
          <w:sz w:val="24"/>
          <w:szCs w:val="24"/>
        </w:rPr>
        <w:t>.</w:t>
      </w:r>
    </w:p>
    <w:p w14:paraId="6778B6EC" w14:textId="040B87CD" w:rsidR="004B44DC" w:rsidRPr="004B44DC" w:rsidRDefault="004B44DC" w:rsidP="004B44DC">
      <w:pPr>
        <w:jc w:val="both"/>
        <w:rPr>
          <w:rFonts w:ascii="Arial" w:hAnsi="Arial" w:cs="Arial"/>
          <w:sz w:val="24"/>
          <w:szCs w:val="24"/>
        </w:rPr>
      </w:pPr>
      <w:r w:rsidRPr="004B44DC">
        <w:rPr>
          <w:rFonts w:ascii="Arial" w:hAnsi="Arial" w:cs="Arial"/>
          <w:sz w:val="24"/>
          <w:szCs w:val="24"/>
        </w:rPr>
        <w:t>La elección de este lugar responde a su accesibilidad, flujo constante de personas y cercanía inmediata con el mercado meta, factores que garantizan una demanda continua de productos y servicios de papelería.</w:t>
      </w:r>
    </w:p>
    <w:p w14:paraId="1D0E64B6" w14:textId="77777777" w:rsidR="004B44DC" w:rsidRPr="004B44DC" w:rsidRDefault="004B44DC" w:rsidP="004B44DC">
      <w:pPr>
        <w:jc w:val="both"/>
        <w:rPr>
          <w:rFonts w:ascii="Arial" w:hAnsi="Arial" w:cs="Arial"/>
          <w:sz w:val="24"/>
          <w:szCs w:val="24"/>
        </w:rPr>
      </w:pPr>
      <w:r w:rsidRPr="004B44DC">
        <w:rPr>
          <w:rFonts w:ascii="Arial" w:hAnsi="Arial" w:cs="Arial"/>
          <w:sz w:val="24"/>
          <w:szCs w:val="24"/>
        </w:rPr>
        <w:t>Factores considerados</w:t>
      </w:r>
    </w:p>
    <w:p w14:paraId="4C3A5FF3" w14:textId="4A161F07" w:rsidR="004B44DC" w:rsidRPr="004B44DC" w:rsidRDefault="004B44DC" w:rsidP="004B44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B44DC">
        <w:rPr>
          <w:rFonts w:ascii="Arial" w:hAnsi="Arial" w:cs="Arial"/>
          <w:sz w:val="24"/>
          <w:szCs w:val="24"/>
        </w:rPr>
        <w:t>Factores geográficos:</w:t>
      </w:r>
      <w:r w:rsidRPr="004B44DC">
        <w:rPr>
          <w:rFonts w:ascii="Arial" w:hAnsi="Arial" w:cs="Arial"/>
          <w:sz w:val="24"/>
          <w:szCs w:val="24"/>
        </w:rPr>
        <w:t xml:space="preserve"> </w:t>
      </w:r>
      <w:r w:rsidRPr="004B44DC">
        <w:rPr>
          <w:rFonts w:ascii="Arial" w:hAnsi="Arial" w:cs="Arial"/>
          <w:sz w:val="24"/>
          <w:szCs w:val="24"/>
        </w:rPr>
        <w:t>La Facultad cuenta con una ubicación accesible, conectada por rutas de transporte público y vialidades en buen estado, lo que facilita el traslado de estudiantes y personal. Además, el nivel de contaminación y el ruido ambiental son bajos, lo que favorece un entorno adecuado para la operación de la papelería.</w:t>
      </w:r>
    </w:p>
    <w:p w14:paraId="767FD234" w14:textId="6D30227D" w:rsidR="004B44DC" w:rsidRPr="004B44DC" w:rsidRDefault="004B44DC" w:rsidP="004B44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B44DC">
        <w:rPr>
          <w:rFonts w:ascii="Arial" w:hAnsi="Arial" w:cs="Arial"/>
          <w:sz w:val="24"/>
          <w:szCs w:val="24"/>
        </w:rPr>
        <w:t>Factores institucionales:</w:t>
      </w:r>
      <w:r w:rsidRPr="004B44DC">
        <w:rPr>
          <w:rFonts w:ascii="Arial" w:hAnsi="Arial" w:cs="Arial"/>
          <w:sz w:val="24"/>
          <w:szCs w:val="24"/>
        </w:rPr>
        <w:t xml:space="preserve"> </w:t>
      </w:r>
      <w:r w:rsidRPr="004B44DC">
        <w:rPr>
          <w:rFonts w:ascii="Arial" w:hAnsi="Arial" w:cs="Arial"/>
          <w:sz w:val="24"/>
          <w:szCs w:val="24"/>
        </w:rPr>
        <w:t>La Universidad Veracruzana promueve el emprendimiento estudiantil y los servicios internos que apoyan las actividades académicas. Este entorno institucional ofrece estabilidad y respaldo para el establecimiento del negocio dentro del campus.</w:t>
      </w:r>
    </w:p>
    <w:p w14:paraId="20B0086F" w14:textId="508AE140" w:rsidR="004B44DC" w:rsidRPr="004B44DC" w:rsidRDefault="004B44DC" w:rsidP="004B44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B44DC">
        <w:rPr>
          <w:rFonts w:ascii="Arial" w:hAnsi="Arial" w:cs="Arial"/>
          <w:sz w:val="24"/>
          <w:szCs w:val="24"/>
        </w:rPr>
        <w:t xml:space="preserve">Factores </w:t>
      </w:r>
      <w:r w:rsidRPr="004B44DC">
        <w:rPr>
          <w:rFonts w:ascii="Arial" w:hAnsi="Arial" w:cs="Arial"/>
          <w:sz w:val="24"/>
          <w:szCs w:val="24"/>
        </w:rPr>
        <w:t>sociales: La</w:t>
      </w:r>
      <w:r w:rsidRPr="004B44DC">
        <w:rPr>
          <w:rFonts w:ascii="Arial" w:hAnsi="Arial" w:cs="Arial"/>
          <w:sz w:val="24"/>
          <w:szCs w:val="24"/>
        </w:rPr>
        <w:t xml:space="preserve"> comunidad universitaria está compuesta por jóvenes estudiantes y profesores con necesidades frecuentes de impresiones, copias, útiles escolares, encuadernado y materiales de exposición. Además, el ambiente académico favorece la convivencia y el flujo constante de personas durante toda la jornada.</w:t>
      </w:r>
    </w:p>
    <w:p w14:paraId="1C404166" w14:textId="5562F082" w:rsidR="004B44DC" w:rsidRDefault="004B44DC" w:rsidP="004B44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B44DC">
        <w:rPr>
          <w:rFonts w:ascii="Arial" w:hAnsi="Arial" w:cs="Arial"/>
          <w:sz w:val="24"/>
          <w:szCs w:val="24"/>
        </w:rPr>
        <w:t>Factores económicos:</w:t>
      </w:r>
      <w:r w:rsidRPr="004B44DC">
        <w:rPr>
          <w:rFonts w:ascii="Arial" w:hAnsi="Arial" w:cs="Arial"/>
          <w:sz w:val="24"/>
          <w:szCs w:val="24"/>
        </w:rPr>
        <w:t xml:space="preserve"> </w:t>
      </w:r>
      <w:r w:rsidRPr="004B44DC">
        <w:rPr>
          <w:rFonts w:ascii="Arial" w:hAnsi="Arial" w:cs="Arial"/>
          <w:sz w:val="24"/>
          <w:szCs w:val="24"/>
        </w:rPr>
        <w:t>La instalación dentro de la universidad permite reducir costos de renta, publicidad y transporte, al mismo tiempo que asegura una clientela fija. Asimismo, existe mano de obra disponible entre los propios estudiantes, lo cual representa una oportunidad para generar empleo temporal y mantener bajos costos operativos.</w:t>
      </w:r>
    </w:p>
    <w:p w14:paraId="7F47BE29" w14:textId="77777777" w:rsidR="00672520" w:rsidRPr="00672520" w:rsidRDefault="00672520" w:rsidP="00672520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672520">
        <w:rPr>
          <w:rFonts w:ascii="Arial" w:hAnsi="Arial" w:cs="Arial"/>
          <w:b/>
          <w:bCs/>
          <w:color w:val="FF0000"/>
          <w:sz w:val="24"/>
          <w:szCs w:val="24"/>
        </w:rPr>
        <w:t>Método cualitativo por puntos</w:t>
      </w:r>
    </w:p>
    <w:p w14:paraId="7E571D4E" w14:textId="77777777" w:rsidR="00672520" w:rsidRPr="00672520" w:rsidRDefault="00672520" w:rsidP="00672520">
      <w:pPr>
        <w:jc w:val="both"/>
        <w:rPr>
          <w:rFonts w:ascii="Arial" w:hAnsi="Arial" w:cs="Arial"/>
          <w:sz w:val="24"/>
          <w:szCs w:val="24"/>
        </w:rPr>
      </w:pPr>
      <w:r w:rsidRPr="00672520">
        <w:rPr>
          <w:rFonts w:ascii="Arial" w:hAnsi="Arial" w:cs="Arial"/>
          <w:sz w:val="24"/>
          <w:szCs w:val="24"/>
        </w:rPr>
        <w:t>Para fundamentar la decisión de localización, se aplicó el método cualitativo por puntos, que consiste en ponderar los factores relevantes para el proyecto y asignar calificaciones a las posibles ubicaciones.</w:t>
      </w:r>
    </w:p>
    <w:p w14:paraId="6F0C479F" w14:textId="77777777" w:rsidR="00672520" w:rsidRPr="00672520" w:rsidRDefault="00672520" w:rsidP="00672520">
      <w:pPr>
        <w:jc w:val="both"/>
        <w:rPr>
          <w:rFonts w:ascii="Arial" w:hAnsi="Arial" w:cs="Arial"/>
          <w:sz w:val="24"/>
          <w:szCs w:val="24"/>
        </w:rPr>
      </w:pPr>
      <w:r w:rsidRPr="00672520">
        <w:rPr>
          <w:rFonts w:ascii="Arial" w:hAnsi="Arial" w:cs="Arial"/>
          <w:sz w:val="24"/>
          <w:szCs w:val="24"/>
        </w:rPr>
        <w:t>En este caso, se compararon dos alternativas:</w:t>
      </w:r>
    </w:p>
    <w:p w14:paraId="45249C91" w14:textId="77777777" w:rsidR="00672520" w:rsidRPr="00672520" w:rsidRDefault="00672520" w:rsidP="0067252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72520">
        <w:rPr>
          <w:rFonts w:ascii="Arial" w:hAnsi="Arial" w:cs="Arial"/>
          <w:sz w:val="24"/>
          <w:szCs w:val="24"/>
        </w:rPr>
        <w:t>A: Zona de Sumidero (fuera del campus universitario)</w:t>
      </w:r>
    </w:p>
    <w:p w14:paraId="28973F9E" w14:textId="2AC8638F" w:rsidR="00672520" w:rsidRDefault="00672520" w:rsidP="0067252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72520">
        <w:rPr>
          <w:rFonts w:ascii="Arial" w:hAnsi="Arial" w:cs="Arial"/>
          <w:sz w:val="24"/>
          <w:szCs w:val="24"/>
        </w:rPr>
        <w:lastRenderedPageBreak/>
        <w:t>B: Facultad de Negocios y Tecnologías de la Universidad Veracruzana (dentro del campus)</w:t>
      </w:r>
      <w:r>
        <w:rPr>
          <w:rFonts w:ascii="Arial" w:hAnsi="Arial" w:cs="Arial"/>
          <w:sz w:val="24"/>
          <w:szCs w:val="24"/>
        </w:rPr>
        <w:t>.</w:t>
      </w:r>
    </w:p>
    <w:p w14:paraId="72BDDB3E" w14:textId="77777777" w:rsidR="00672520" w:rsidRPr="00672520" w:rsidRDefault="00672520" w:rsidP="00672520">
      <w:pPr>
        <w:ind w:left="360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3-nfasis5"/>
        <w:tblW w:w="10632" w:type="dxa"/>
        <w:tblInd w:w="-743" w:type="dxa"/>
        <w:tblLook w:val="04A0" w:firstRow="1" w:lastRow="0" w:firstColumn="1" w:lastColumn="0" w:noHBand="0" w:noVBand="1"/>
      </w:tblPr>
      <w:tblGrid>
        <w:gridCol w:w="3351"/>
        <w:gridCol w:w="742"/>
        <w:gridCol w:w="1885"/>
        <w:gridCol w:w="1080"/>
        <w:gridCol w:w="1602"/>
        <w:gridCol w:w="1972"/>
      </w:tblGrid>
      <w:tr w:rsidR="00672520" w:rsidRPr="00672520" w14:paraId="5F294B34" w14:textId="77777777" w:rsidTr="00672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51" w:type="dxa"/>
            <w:hideMark/>
          </w:tcPr>
          <w:p w14:paraId="3FE27D45" w14:textId="77777777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r w:rsidRPr="00672520">
              <w:rPr>
                <w:rFonts w:ascii="Arial" w:hAnsi="Arial" w:cs="Arial"/>
                <w:i w:val="0"/>
                <w:iCs w:val="0"/>
              </w:rPr>
              <w:t>Factor evaluado</w:t>
            </w:r>
          </w:p>
        </w:tc>
        <w:tc>
          <w:tcPr>
            <w:tcW w:w="0" w:type="auto"/>
            <w:hideMark/>
          </w:tcPr>
          <w:p w14:paraId="6EEC9329" w14:textId="77777777" w:rsidR="00672520" w:rsidRPr="00672520" w:rsidRDefault="00672520" w:rsidP="0067252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Peso</w:t>
            </w:r>
          </w:p>
        </w:tc>
        <w:tc>
          <w:tcPr>
            <w:tcW w:w="0" w:type="auto"/>
            <w:hideMark/>
          </w:tcPr>
          <w:p w14:paraId="04D67699" w14:textId="77777777" w:rsidR="00672520" w:rsidRPr="00672520" w:rsidRDefault="00672520" w:rsidP="0067252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Opción A: Zona de Sumidero</w:t>
            </w:r>
          </w:p>
        </w:tc>
        <w:tc>
          <w:tcPr>
            <w:tcW w:w="0" w:type="auto"/>
            <w:hideMark/>
          </w:tcPr>
          <w:p w14:paraId="329071DF" w14:textId="77777777" w:rsidR="00672520" w:rsidRPr="00672520" w:rsidRDefault="00672520" w:rsidP="0067252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Puntaje A</w:t>
            </w:r>
          </w:p>
        </w:tc>
        <w:tc>
          <w:tcPr>
            <w:tcW w:w="0" w:type="auto"/>
            <w:hideMark/>
          </w:tcPr>
          <w:p w14:paraId="6A6D4AE1" w14:textId="77777777" w:rsidR="00672520" w:rsidRPr="00672520" w:rsidRDefault="00672520" w:rsidP="0067252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Opción B: Facultad UV</w:t>
            </w:r>
          </w:p>
        </w:tc>
        <w:tc>
          <w:tcPr>
            <w:tcW w:w="1972" w:type="dxa"/>
            <w:hideMark/>
          </w:tcPr>
          <w:p w14:paraId="7DDE95E4" w14:textId="77777777" w:rsidR="00672520" w:rsidRPr="00672520" w:rsidRDefault="00672520" w:rsidP="0067252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Puntaje B</w:t>
            </w:r>
          </w:p>
        </w:tc>
      </w:tr>
      <w:tr w:rsidR="00672520" w:rsidRPr="00672520" w14:paraId="791D73E8" w14:textId="77777777" w:rsidTr="00672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hideMark/>
          </w:tcPr>
          <w:p w14:paraId="4E370200" w14:textId="77777777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r w:rsidRPr="00672520">
              <w:rPr>
                <w:rFonts w:ascii="Arial" w:hAnsi="Arial" w:cs="Arial"/>
                <w:i w:val="0"/>
                <w:iCs w:val="0"/>
              </w:rPr>
              <w:t>Cercanía con estudiantes (mercado meta)</w:t>
            </w:r>
          </w:p>
        </w:tc>
        <w:tc>
          <w:tcPr>
            <w:tcW w:w="0" w:type="auto"/>
            <w:hideMark/>
          </w:tcPr>
          <w:p w14:paraId="2F549A5C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0.30</w:t>
            </w:r>
          </w:p>
        </w:tc>
        <w:tc>
          <w:tcPr>
            <w:tcW w:w="0" w:type="auto"/>
            <w:hideMark/>
          </w:tcPr>
          <w:p w14:paraId="5BB28586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6AB9582B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2.1</w:t>
            </w:r>
          </w:p>
        </w:tc>
        <w:tc>
          <w:tcPr>
            <w:tcW w:w="0" w:type="auto"/>
            <w:hideMark/>
          </w:tcPr>
          <w:p w14:paraId="63785870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10</w:t>
            </w:r>
          </w:p>
        </w:tc>
        <w:tc>
          <w:tcPr>
            <w:tcW w:w="1972" w:type="dxa"/>
            <w:hideMark/>
          </w:tcPr>
          <w:p w14:paraId="1AE5B355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3.0</w:t>
            </w:r>
          </w:p>
        </w:tc>
      </w:tr>
      <w:tr w:rsidR="00672520" w:rsidRPr="00672520" w14:paraId="2B7FD1C7" w14:textId="77777777" w:rsidTr="0067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hideMark/>
          </w:tcPr>
          <w:p w14:paraId="79F475AD" w14:textId="77777777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r w:rsidRPr="00672520">
              <w:rPr>
                <w:rFonts w:ascii="Arial" w:hAnsi="Arial" w:cs="Arial"/>
                <w:i w:val="0"/>
                <w:iCs w:val="0"/>
              </w:rPr>
              <w:t>Accesibilidad y flujo peatonal</w:t>
            </w:r>
          </w:p>
        </w:tc>
        <w:tc>
          <w:tcPr>
            <w:tcW w:w="0" w:type="auto"/>
            <w:hideMark/>
          </w:tcPr>
          <w:p w14:paraId="32536B5B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0.20</w:t>
            </w:r>
          </w:p>
        </w:tc>
        <w:tc>
          <w:tcPr>
            <w:tcW w:w="0" w:type="auto"/>
            <w:hideMark/>
          </w:tcPr>
          <w:p w14:paraId="454A3F20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4C6489E3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1.2</w:t>
            </w:r>
          </w:p>
        </w:tc>
        <w:tc>
          <w:tcPr>
            <w:tcW w:w="0" w:type="auto"/>
            <w:hideMark/>
          </w:tcPr>
          <w:p w14:paraId="480AAC72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9</w:t>
            </w:r>
          </w:p>
        </w:tc>
        <w:tc>
          <w:tcPr>
            <w:tcW w:w="1972" w:type="dxa"/>
            <w:hideMark/>
          </w:tcPr>
          <w:p w14:paraId="5C86693B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1.8</w:t>
            </w:r>
          </w:p>
        </w:tc>
      </w:tr>
      <w:tr w:rsidR="00672520" w:rsidRPr="00672520" w14:paraId="1FDFDF61" w14:textId="77777777" w:rsidTr="00672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hideMark/>
          </w:tcPr>
          <w:p w14:paraId="619F94DC" w14:textId="77777777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r w:rsidRPr="00672520">
              <w:rPr>
                <w:rFonts w:ascii="Arial" w:hAnsi="Arial" w:cs="Arial"/>
                <w:i w:val="0"/>
                <w:iCs w:val="0"/>
              </w:rPr>
              <w:t>Seguridad del entorno</w:t>
            </w:r>
          </w:p>
        </w:tc>
        <w:tc>
          <w:tcPr>
            <w:tcW w:w="0" w:type="auto"/>
            <w:hideMark/>
          </w:tcPr>
          <w:p w14:paraId="421EA665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0.15</w:t>
            </w:r>
          </w:p>
        </w:tc>
        <w:tc>
          <w:tcPr>
            <w:tcW w:w="0" w:type="auto"/>
            <w:hideMark/>
          </w:tcPr>
          <w:p w14:paraId="2CE24ECE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00F5EDB6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1.2</w:t>
            </w:r>
          </w:p>
        </w:tc>
        <w:tc>
          <w:tcPr>
            <w:tcW w:w="0" w:type="auto"/>
            <w:hideMark/>
          </w:tcPr>
          <w:p w14:paraId="75AD0D6C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9</w:t>
            </w:r>
          </w:p>
        </w:tc>
        <w:tc>
          <w:tcPr>
            <w:tcW w:w="1972" w:type="dxa"/>
            <w:hideMark/>
          </w:tcPr>
          <w:p w14:paraId="0AE8CBD2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1.35</w:t>
            </w:r>
          </w:p>
        </w:tc>
      </w:tr>
      <w:tr w:rsidR="00672520" w:rsidRPr="00672520" w14:paraId="45723F2C" w14:textId="77777777" w:rsidTr="0067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hideMark/>
          </w:tcPr>
          <w:p w14:paraId="6A894688" w14:textId="77777777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r w:rsidRPr="00672520">
              <w:rPr>
                <w:rFonts w:ascii="Arial" w:hAnsi="Arial" w:cs="Arial"/>
                <w:i w:val="0"/>
                <w:iCs w:val="0"/>
              </w:rPr>
              <w:t>Costo de renta o permisos</w:t>
            </w:r>
          </w:p>
        </w:tc>
        <w:tc>
          <w:tcPr>
            <w:tcW w:w="0" w:type="auto"/>
            <w:hideMark/>
          </w:tcPr>
          <w:p w14:paraId="2F63B563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0.15</w:t>
            </w:r>
          </w:p>
        </w:tc>
        <w:tc>
          <w:tcPr>
            <w:tcW w:w="0" w:type="auto"/>
            <w:hideMark/>
          </w:tcPr>
          <w:p w14:paraId="1F32529C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6897F4A0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1.35</w:t>
            </w:r>
          </w:p>
        </w:tc>
        <w:tc>
          <w:tcPr>
            <w:tcW w:w="0" w:type="auto"/>
            <w:hideMark/>
          </w:tcPr>
          <w:p w14:paraId="289082AE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7</w:t>
            </w:r>
          </w:p>
        </w:tc>
        <w:tc>
          <w:tcPr>
            <w:tcW w:w="1972" w:type="dxa"/>
            <w:hideMark/>
          </w:tcPr>
          <w:p w14:paraId="4AF21DE9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1.05</w:t>
            </w:r>
          </w:p>
        </w:tc>
      </w:tr>
      <w:tr w:rsidR="00672520" w:rsidRPr="00672520" w14:paraId="6B8AA822" w14:textId="77777777" w:rsidTr="00672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hideMark/>
          </w:tcPr>
          <w:p w14:paraId="4AEE586B" w14:textId="77777777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r w:rsidRPr="00672520">
              <w:rPr>
                <w:rFonts w:ascii="Arial" w:hAnsi="Arial" w:cs="Arial"/>
                <w:i w:val="0"/>
                <w:iCs w:val="0"/>
              </w:rPr>
              <w:t>Disponibilidad de servicios (internet, energía, agua)</w:t>
            </w:r>
          </w:p>
        </w:tc>
        <w:tc>
          <w:tcPr>
            <w:tcW w:w="0" w:type="auto"/>
            <w:hideMark/>
          </w:tcPr>
          <w:p w14:paraId="34C2EE1E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0.10</w:t>
            </w:r>
          </w:p>
        </w:tc>
        <w:tc>
          <w:tcPr>
            <w:tcW w:w="0" w:type="auto"/>
            <w:hideMark/>
          </w:tcPr>
          <w:p w14:paraId="3535C84B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6B51C574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0.7</w:t>
            </w:r>
          </w:p>
        </w:tc>
        <w:tc>
          <w:tcPr>
            <w:tcW w:w="0" w:type="auto"/>
            <w:hideMark/>
          </w:tcPr>
          <w:p w14:paraId="3B10D5AC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9</w:t>
            </w:r>
          </w:p>
        </w:tc>
        <w:tc>
          <w:tcPr>
            <w:tcW w:w="1972" w:type="dxa"/>
            <w:hideMark/>
          </w:tcPr>
          <w:p w14:paraId="0FE1FBEF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0.9</w:t>
            </w:r>
          </w:p>
        </w:tc>
      </w:tr>
      <w:tr w:rsidR="00672520" w:rsidRPr="00672520" w14:paraId="0D6C4317" w14:textId="77777777" w:rsidTr="00672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hideMark/>
          </w:tcPr>
          <w:p w14:paraId="416115EA" w14:textId="5B2E0CCC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r w:rsidRPr="00672520">
              <w:rPr>
                <w:rFonts w:ascii="Arial" w:hAnsi="Arial" w:cs="Arial"/>
                <w:i w:val="0"/>
                <w:iCs w:val="0"/>
              </w:rPr>
              <w:t xml:space="preserve">Imagen y visibilidad </w:t>
            </w:r>
            <w:r>
              <w:rPr>
                <w:rFonts w:ascii="Arial" w:hAnsi="Arial" w:cs="Arial"/>
                <w:i w:val="0"/>
                <w:iCs w:val="0"/>
              </w:rPr>
              <w:t>de la papelería</w:t>
            </w:r>
          </w:p>
        </w:tc>
        <w:tc>
          <w:tcPr>
            <w:tcW w:w="0" w:type="auto"/>
            <w:hideMark/>
          </w:tcPr>
          <w:p w14:paraId="44928BB2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0.10</w:t>
            </w:r>
          </w:p>
        </w:tc>
        <w:tc>
          <w:tcPr>
            <w:tcW w:w="0" w:type="auto"/>
            <w:hideMark/>
          </w:tcPr>
          <w:p w14:paraId="450615C3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157DBB79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0.6</w:t>
            </w:r>
          </w:p>
        </w:tc>
        <w:tc>
          <w:tcPr>
            <w:tcW w:w="0" w:type="auto"/>
            <w:hideMark/>
          </w:tcPr>
          <w:p w14:paraId="138DDE70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9</w:t>
            </w:r>
          </w:p>
        </w:tc>
        <w:tc>
          <w:tcPr>
            <w:tcW w:w="1972" w:type="dxa"/>
            <w:hideMark/>
          </w:tcPr>
          <w:p w14:paraId="449B1B1F" w14:textId="77777777" w:rsidR="00672520" w:rsidRPr="00672520" w:rsidRDefault="00672520" w:rsidP="006725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</w:rPr>
              <w:t>0.9</w:t>
            </w:r>
          </w:p>
        </w:tc>
      </w:tr>
      <w:tr w:rsidR="00672520" w:rsidRPr="00672520" w14:paraId="7CEC4FFD" w14:textId="77777777" w:rsidTr="00672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1" w:type="dxa"/>
            <w:hideMark/>
          </w:tcPr>
          <w:p w14:paraId="0D568022" w14:textId="723E4678" w:rsidR="00672520" w:rsidRPr="00672520" w:rsidRDefault="00672520" w:rsidP="00672520">
            <w:pPr>
              <w:spacing w:after="160" w:line="259" w:lineRule="auto"/>
              <w:jc w:val="both"/>
              <w:rPr>
                <w:rFonts w:ascii="Arial" w:hAnsi="Arial" w:cs="Arial"/>
                <w:i w:val="0"/>
                <w:iCs w:val="0"/>
              </w:rPr>
            </w:pPr>
            <w:proofErr w:type="gramStart"/>
            <w:r w:rsidRPr="00672520">
              <w:rPr>
                <w:rFonts w:ascii="Arial" w:hAnsi="Arial" w:cs="Arial"/>
                <w:b/>
                <w:bCs/>
                <w:i w:val="0"/>
                <w:iCs w:val="0"/>
              </w:rPr>
              <w:t>Total</w:t>
            </w:r>
            <w:proofErr w:type="gramEnd"/>
            <w:r w:rsidRPr="00672520">
              <w:rPr>
                <w:rFonts w:ascii="Arial" w:hAnsi="Arial" w:cs="Arial"/>
                <w:b/>
                <w:bCs/>
                <w:i w:val="0"/>
                <w:iCs w:val="0"/>
              </w:rPr>
              <w:t xml:space="preserve"> </w:t>
            </w:r>
            <w:r w:rsidRPr="00672520">
              <w:rPr>
                <w:rFonts w:ascii="Arial" w:hAnsi="Arial" w:cs="Arial"/>
                <w:b/>
                <w:bCs/>
                <w:i w:val="0"/>
                <w:iCs w:val="0"/>
              </w:rPr>
              <w:t>ponderado</w:t>
            </w:r>
          </w:p>
        </w:tc>
        <w:tc>
          <w:tcPr>
            <w:tcW w:w="0" w:type="auto"/>
            <w:hideMark/>
          </w:tcPr>
          <w:p w14:paraId="4A7E435C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68EB044D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B10DCAF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  <w:b/>
                <w:bCs/>
              </w:rPr>
              <w:t>7.15</w:t>
            </w:r>
          </w:p>
        </w:tc>
        <w:tc>
          <w:tcPr>
            <w:tcW w:w="0" w:type="auto"/>
            <w:hideMark/>
          </w:tcPr>
          <w:p w14:paraId="70EEEFD3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72" w:type="dxa"/>
            <w:hideMark/>
          </w:tcPr>
          <w:p w14:paraId="19737215" w14:textId="77777777" w:rsidR="00672520" w:rsidRPr="00672520" w:rsidRDefault="00672520" w:rsidP="006725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72520">
              <w:rPr>
                <w:rFonts w:ascii="Arial" w:hAnsi="Arial" w:cs="Arial"/>
                <w:b/>
                <w:bCs/>
              </w:rPr>
              <w:t>9.00</w:t>
            </w:r>
          </w:p>
        </w:tc>
      </w:tr>
    </w:tbl>
    <w:p w14:paraId="13502CF8" w14:textId="77777777" w:rsidR="00672520" w:rsidRPr="004B44DC" w:rsidRDefault="00672520" w:rsidP="00672520">
      <w:pPr>
        <w:jc w:val="both"/>
        <w:rPr>
          <w:rFonts w:ascii="Arial" w:hAnsi="Arial" w:cs="Arial"/>
          <w:sz w:val="24"/>
          <w:szCs w:val="24"/>
        </w:rPr>
      </w:pPr>
    </w:p>
    <w:p w14:paraId="6F5B4162" w14:textId="064BB08E" w:rsidR="00393F5B" w:rsidRPr="00672520" w:rsidRDefault="00672520" w:rsidP="004B44DC">
      <w:pPr>
        <w:jc w:val="both"/>
        <w:rPr>
          <w:rFonts w:ascii="Arial" w:hAnsi="Arial" w:cs="Arial"/>
          <w:sz w:val="24"/>
          <w:szCs w:val="24"/>
        </w:rPr>
      </w:pPr>
      <w:r w:rsidRPr="00672520">
        <w:rPr>
          <w:rFonts w:ascii="Arial" w:hAnsi="Arial" w:cs="Arial"/>
          <w:sz w:val="24"/>
          <w:szCs w:val="24"/>
        </w:rPr>
        <w:t xml:space="preserve">La opción B (Facultad de Negocios y Tecnologías) obtiene una mayor puntuación total, lo que indica que su ubicación dentro del campus es más favorable para atender directamente a los estudiantes, quienes representan el </w:t>
      </w:r>
      <w:r>
        <w:rPr>
          <w:rFonts w:ascii="Arial" w:hAnsi="Arial" w:cs="Arial"/>
          <w:sz w:val="24"/>
          <w:szCs w:val="24"/>
        </w:rPr>
        <w:t>público principal de la papelería</w:t>
      </w:r>
      <w:r w:rsidRPr="00672520">
        <w:rPr>
          <w:rFonts w:ascii="Arial" w:hAnsi="Arial" w:cs="Arial"/>
          <w:sz w:val="24"/>
          <w:szCs w:val="24"/>
        </w:rPr>
        <w:t>.</w:t>
      </w:r>
    </w:p>
    <w:sectPr w:rsidR="00393F5B" w:rsidRPr="006725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782"/>
    <w:multiLevelType w:val="multilevel"/>
    <w:tmpl w:val="654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82D5E"/>
    <w:multiLevelType w:val="multilevel"/>
    <w:tmpl w:val="429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7162">
    <w:abstractNumId w:val="0"/>
  </w:num>
  <w:num w:numId="2" w16cid:durableId="23390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5B"/>
    <w:rsid w:val="0032150F"/>
    <w:rsid w:val="0035688B"/>
    <w:rsid w:val="00393F5B"/>
    <w:rsid w:val="00447B91"/>
    <w:rsid w:val="004B44DC"/>
    <w:rsid w:val="00672520"/>
    <w:rsid w:val="00712B00"/>
    <w:rsid w:val="009B087B"/>
    <w:rsid w:val="00A66333"/>
    <w:rsid w:val="00DB24EE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108D"/>
  <w15:chartTrackingRefBased/>
  <w15:docId w15:val="{BB33F92F-3322-4FA9-BA58-1BD99A4A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9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F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F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F5B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F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F5B"/>
    <w:rPr>
      <w:rFonts w:eastAsiaTheme="majorEastAsia" w:cstheme="majorBidi"/>
      <w:color w:val="2E74B5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F5B"/>
    <w:rPr>
      <w:rFonts w:eastAsiaTheme="majorEastAsia" w:cstheme="majorBidi"/>
      <w:i/>
      <w:iCs/>
      <w:color w:val="2E74B5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F5B"/>
    <w:rPr>
      <w:rFonts w:eastAsiaTheme="majorEastAsia" w:cstheme="majorBidi"/>
      <w:color w:val="2E74B5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F5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F5B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F5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F5B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39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F5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F5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39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F5B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393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F5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F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F5B"/>
    <w:rPr>
      <w:i/>
      <w:iCs/>
      <w:color w:val="2E74B5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393F5B"/>
    <w:rPr>
      <w:b/>
      <w:bCs/>
      <w:smallCaps/>
      <w:color w:val="2E74B5" w:themeColor="accent1" w:themeShade="BF"/>
      <w:spacing w:val="5"/>
    </w:rPr>
  </w:style>
  <w:style w:type="table" w:styleId="Tablaconcuadrcula3-nfasis5">
    <w:name w:val="Grid Table 3 Accent 5"/>
    <w:basedOn w:val="Tablanormal"/>
    <w:uiPriority w:val="48"/>
    <w:rsid w:val="006725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471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Casiano Luz Maria</dc:creator>
  <cp:keywords/>
  <dc:description/>
  <cp:lastModifiedBy>Morales Casiano Luz Maria</cp:lastModifiedBy>
  <cp:revision>1</cp:revision>
  <dcterms:created xsi:type="dcterms:W3CDTF">2025-10-31T04:43:00Z</dcterms:created>
  <dcterms:modified xsi:type="dcterms:W3CDTF">2025-10-31T05:10:00Z</dcterms:modified>
</cp:coreProperties>
</file>