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Optimization App - User Guide</w:t>
      </w:r>
    </w:p>
    <w:p>
      <w:r>
        <w:t>Updated: June 2, 2026</w:t>
      </w:r>
    </w:p>
    <w:p>
      <w:r>
        <w:t>This guide standardizes the planner workflow for the Carry-On Tool (COT): sign-in and account access, daily order intake, draft-load generation, load review and approvals, manual edits, and operational exports.</w:t>
      </w:r>
    </w:p>
    <w:p>
      <w:pPr>
        <w:pStyle w:val="Heading1"/>
      </w:pPr>
      <w:r>
        <w:t>Executive Summary</w:t>
      </w:r>
    </w:p>
    <w:tbl>
      <w:tblPr>
        <w:tblStyle w:val="TableGrid"/>
        <w:tblW w:type="auto" w:w="0"/>
        <w:tblLook w:firstColumn="1" w:firstRow="1" w:lastColumn="0" w:lastRow="0" w:noHBand="0" w:noVBand="1" w:val="04A0"/>
      </w:tblPr>
      <w:tblGrid>
        <w:gridCol w:w="5040"/>
        <w:gridCol w:w="5040"/>
      </w:tblGrid>
      <w:tr>
        <w:tc>
          <w:tcPr>
            <w:tcW w:type="dxa" w:w="5040"/>
          </w:tcPr>
          <w:p>
            <w:r>
              <w:t>Strategic Purpose</w:t>
              <w:br/>
              <w:t>COT converts open-order demand into planner-ready load plans using standardized utilization, routing, and costing logic.</w:t>
              <w:br/>
              <w:br/>
              <w:t>Primary Users</w:t>
              <w:br/>
              <w:t>Dispatch and planning teams, shipping leadership, and operations admins supporting settings and data quality.</w:t>
            </w:r>
          </w:p>
        </w:tc>
        <w:tc>
          <w:tcPr>
            <w:tcW w:type="dxa" w:w="5040"/>
          </w:tcPr>
          <w:p>
            <w:r>
              <w:t>Why It Matters</w:t>
              <w:br/>
              <w:t>- Improves trailer utilization and freight economics</w:t>
              <w:br/>
              <w:t>- Standardizes intake and load-review decision making</w:t>
              <w:br/>
              <w:t>- Preserves planner control through manual edits and approvals</w:t>
              <w:br/>
              <w:t>- Produces consistent operational outputs for fulfillment and dispatch</w:t>
            </w:r>
          </w:p>
        </w:tc>
      </w:tr>
    </w:tbl>
    <w:p>
      <w:pPr/>
      <w:r>
        <w:t>End-to-End Workflow</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1</w:t>
            </w:r>
          </w:p>
        </w:tc>
        <w:tc>
          <w:tcPr>
            <w:tcW w:type="dxa" w:w="1120"/>
          </w:tcPr>
          <w:p>
            <w:r>
              <w:t>Access</w:t>
            </w:r>
          </w:p>
        </w:tc>
        <w:tc>
          <w:tcPr>
            <w:tcW w:type="dxa" w:w="1120"/>
          </w:tcPr>
          <w:p>
            <w:r>
              <w:t>SSO and account selection</w:t>
            </w:r>
          </w:p>
        </w:tc>
        <w:tc>
          <w:tcPr>
            <w:tcW w:type="dxa" w:w="1120"/>
          </w:tcPr>
          <w:p>
            <w:r>
              <w:t>&gt;</w:t>
            </w:r>
          </w:p>
        </w:tc>
        <w:tc>
          <w:tcPr>
            <w:tcW w:type="dxa" w:w="1120"/>
          </w:tcPr>
          <w:p>
            <w:r>
              <w:t>2</w:t>
            </w:r>
          </w:p>
        </w:tc>
        <w:tc>
          <w:tcPr>
            <w:tcW w:type="dxa" w:w="1120"/>
          </w:tcPr>
          <w:p>
            <w:r>
              <w:t>Daily Intake</w:t>
            </w:r>
          </w:p>
        </w:tc>
        <w:tc>
          <w:tcPr>
            <w:tcW w:type="dxa" w:w="1120"/>
          </w:tcPr>
          <w:p>
            <w:r>
              <w:t>Upload and validate orders</w:t>
            </w:r>
          </w:p>
        </w:tc>
        <w:tc>
          <w:tcPr>
            <w:tcW w:type="dxa" w:w="1120"/>
          </w:tcPr>
          <w:p>
            <w:r>
              <w:t>&gt;</w:t>
            </w:r>
          </w:p>
        </w:tc>
        <w:tc>
          <w:tcPr>
            <w:tcW w:type="dxa" w:w="1120"/>
          </w:tcPr>
          <w:p>
            <w:r>
              <w:t>3) Build, Review, Approve</w:t>
            </w:r>
          </w:p>
        </w:tc>
      </w:tr>
    </w:tbl>
    <w:p>
      <w:pPr>
        <w:pStyle w:val="Heading1"/>
      </w:pPr>
      <w:r>
        <w:t>Business Value and Expected Outcomes</w:t>
      </w:r>
    </w:p>
    <w:p>
      <w:pPr>
        <w:pStyle w:val="Heading2"/>
      </w:pPr>
      <w:r>
        <w:t>Key Operational Outcomes</w:t>
      </w:r>
    </w:p>
    <w:p>
      <w:pPr>
        <w:pStyle w:val="ListParagraph"/>
      </w:pPr>
      <w:r>
        <w:t>Faster planning cycles from sign-in through final approval</w:t>
      </w:r>
    </w:p>
    <w:p>
      <w:pPr>
        <w:pStyle w:val="ListParagraph"/>
      </w:pPr>
      <w:r>
        <w:t>Clearer daily data-quality checks before optimization runs</w:t>
      </w:r>
    </w:p>
    <w:p>
      <w:pPr>
        <w:pStyle w:val="ListParagraph"/>
      </w:pPr>
      <w:r>
        <w:t>Reduced risk from stale order data, unmapped SKUs, and source-vs-tool load assignment drift</w:t>
      </w:r>
    </w:p>
    <w:p>
      <w:pPr>
        <w:pStyle w:val="ListParagraph"/>
      </w:pPr>
      <w:r>
        <w:t>Improved planner confidence through schematic editing, manual order add, and trailer selection tools</w:t>
      </w:r>
    </w:p>
    <w:p>
      <w:pPr>
        <w:pStyle w:val="ListParagraph"/>
      </w:pPr>
      <w:r>
        <w:t>Better auditability through session history, load reports, and exports</w:t>
      </w:r>
    </w:p>
    <w:p>
      <w:pPr>
        <w:pStyle w:val="Heading2"/>
      </w:pPr>
      <w:r>
        <w:t>Primary User Use Cases</w:t>
      </w:r>
    </w:p>
    <w:tbl>
      <w:tblPr>
        <w:tblStyle w:val="TableGrid"/>
        <w:tblW w:type="auto" w:w="0"/>
        <w:tblLook w:firstColumn="1" w:firstRow="1" w:lastColumn="0" w:lastRow="0" w:noHBand="0" w:noVBand="1" w:val="04A0"/>
      </w:tblPr>
      <w:tblGrid>
        <w:gridCol w:w="3360"/>
        <w:gridCol w:w="3360"/>
        <w:gridCol w:w="3360"/>
      </w:tblGrid>
      <w:tr>
        <w:tc>
          <w:tcPr>
            <w:tcW w:type="dxa" w:w="3360"/>
          </w:tcPr>
          <w:p>
            <w:r>
              <w:t>User Group</w:t>
            </w:r>
          </w:p>
        </w:tc>
        <w:tc>
          <w:tcPr>
            <w:tcW w:type="dxa" w:w="3360"/>
          </w:tcPr>
          <w:p>
            <w:r>
              <w:t>Typical Trigger</w:t>
            </w:r>
          </w:p>
        </w:tc>
        <w:tc>
          <w:tcPr>
            <w:tcW w:type="dxa" w:w="3360"/>
          </w:tcPr>
          <w:p>
            <w:r>
              <w:t>Business Value</w:t>
            </w:r>
          </w:p>
        </w:tc>
      </w:tr>
      <w:tr>
        <w:tc>
          <w:tcPr>
            <w:tcW w:type="dxa" w:w="3360"/>
          </w:tcPr>
          <w:p>
            <w:r>
              <w:t>Planner / Dispatcher</w:t>
            </w:r>
          </w:p>
        </w:tc>
        <w:tc>
          <w:tcPr>
            <w:tcW w:type="dxa" w:w="3360"/>
          </w:tcPr>
          <w:p>
            <w:r>
              <w:t>Daily open-order cycle</w:t>
            </w:r>
          </w:p>
        </w:tc>
        <w:tc>
          <w:tcPr>
            <w:tcW w:type="dxa" w:w="3360"/>
          </w:tcPr>
          <w:p>
            <w:r>
              <w:t>Upload current orders, generate draft loads, and refine exceptions quickly.</w:t>
            </w:r>
          </w:p>
        </w:tc>
      </w:tr>
      <w:tr>
        <w:tc>
          <w:tcPr>
            <w:tcW w:type="dxa" w:w="3360"/>
          </w:tcPr>
          <w:p>
            <w:r>
              <w:t>Shipping Leadership</w:t>
            </w:r>
          </w:p>
        </w:tc>
        <w:tc>
          <w:tcPr>
            <w:tcW w:type="dxa" w:w="3360"/>
          </w:tcPr>
          <w:p>
            <w:r>
              <w:t>Load approval and exception review</w:t>
            </w:r>
          </w:p>
        </w:tc>
        <w:tc>
          <w:tcPr>
            <w:tcW w:type="dxa" w:w="3360"/>
          </w:tcPr>
          <w:p>
            <w:r>
              <w:t>Validate route, cost, trailer fit, and approval readiness with consistent assumptions.</w:t>
            </w:r>
          </w:p>
        </w:tc>
      </w:tr>
      <w:tr>
        <w:tc>
          <w:tcPr>
            <w:tcW w:type="dxa" w:w="3360"/>
          </w:tcPr>
          <w:p>
            <w:r>
              <w:t>Admin / Super User</w:t>
            </w:r>
          </w:p>
        </w:tc>
        <w:tc>
          <w:tcPr>
            <w:tcW w:type="dxa" w:w="3360"/>
          </w:tcPr>
          <w:p>
            <w:r>
              <w:t>Settings and reference-data upkeep</w:t>
            </w:r>
          </w:p>
        </w:tc>
        <w:tc>
          <w:tcPr>
            <w:tcW w:type="dxa" w:w="3360"/>
          </w:tcPr>
          <w:p>
            <w:r>
              <w:t>Maintain SKU, rate, and mapping assumptions that drive optimization quality.</w:t>
            </w:r>
          </w:p>
        </w:tc>
      </w:tr>
    </w:tbl>
    <w:p>
      <w:pPr>
        <w:pStyle w:val="Heading1"/>
      </w:pPr>
      <w:r>
        <w:t>Core Workflow With Planner Notes</w:t>
      </w:r>
    </w:p>
    <w:p>
      <w:r>
        <w:t>COT follows a consistent daily planner workflow. The steps below keep the production-safe sequence intact: access, intake, optimize, review, approve, and export.</w:t>
      </w:r>
    </w:p>
    <w:p>
      <w:pPr>
        <w:pStyle w:val="Heading2"/>
      </w:pPr>
      <w:r>
        <w:t>Step 1 - Select Account and Complete Sign-In</w:t>
      </w:r>
    </w:p>
    <w:p>
      <w:pPr>
        <w:pStyle w:val="ListParagraph"/>
      </w:pPr>
      <w:r>
        <w:t>If Microsoft Entra SSO is enabled in the environment, start with Continue with Microsoft and complete the identity check first.</w:t>
      </w:r>
    </w:p>
    <w:p>
      <w:pPr>
        <w:pStyle w:val="ListParagraph"/>
      </w:pPr>
      <w:r>
        <w:t>After SSO clears, or in legacy-login environments, choose the correct planner or admin account from the Select Account dropdown.</w:t>
      </w:r>
    </w:p>
    <w:p>
      <w:pPr>
        <w:pStyle w:val="ListParagraph"/>
      </w:pPr>
      <w:r>
        <w:t>Planner accounts sign in directly. Admin accounts require the configured admin password.</w:t>
      </w:r>
    </w:p>
    <w:p>
      <w:pPr>
        <w:pStyle w:val="ListParagraph"/>
      </w:pPr>
      <w:r>
        <w:t>Use the focus-plant chips and role label on the login screen to confirm you selected the right access profile before continuing.</w:t>
      </w:r>
    </w:p>
    <w:p>
      <w:r>
        <w:drawing>
          <wp:inline xmlns:a="http://schemas.openxmlformats.org/drawingml/2006/main" xmlns:pic="http://schemas.openxmlformats.org/drawingml/2006/picture">
            <wp:extent cx="6217920" cy="4274820"/>
            <wp:docPr id="1" name="Picture 1"/>
            <wp:cNvGraphicFramePr>
              <a:graphicFrameLocks noChangeAspect="1"/>
            </wp:cNvGraphicFramePr>
            <a:graphic>
              <a:graphicData uri="http://schemas.openxmlformats.org/drawingml/2006/picture">
                <pic:pic>
                  <pic:nvPicPr>
                    <pic:cNvPr id="0" name="01_login_sso.png"/>
                    <pic:cNvPicPr/>
                  </pic:nvPicPr>
                  <pic:blipFill>
                    <a:blip r:embed="rId9"/>
                    <a:stretch>
                      <a:fillRect/>
                    </a:stretch>
                  </pic:blipFill>
                  <pic:spPr>
                    <a:xfrm>
                      <a:off x="0" y="0"/>
                      <a:ext cx="6217920" cy="4274820"/>
                    </a:xfrm>
                    <a:prstGeom prst="rect"/>
                  </pic:spPr>
                </pic:pic>
              </a:graphicData>
            </a:graphic>
          </wp:inline>
        </w:drawing>
      </w:r>
    </w:p>
    <w:p>
      <w:r>
        <w:t>Figure 1. Microsoft Entra sign-in view when SSO is required for the environment.</w:t>
      </w:r>
    </w:p>
    <w:p>
      <w:r>
        <w:drawing>
          <wp:inline xmlns:a="http://schemas.openxmlformats.org/drawingml/2006/main" xmlns:pic="http://schemas.openxmlformats.org/drawingml/2006/picture">
            <wp:extent cx="6217920" cy="4663440"/>
            <wp:docPr id="2" name="Picture 2"/>
            <wp:cNvGraphicFramePr>
              <a:graphicFrameLocks noChangeAspect="1"/>
            </wp:cNvGraphicFramePr>
            <a:graphic>
              <a:graphicData uri="http://schemas.openxmlformats.org/drawingml/2006/picture">
                <pic:pic>
                  <pic:nvPicPr>
                    <pic:cNvPr id="0" name="02_login_account_selection.png"/>
                    <pic:cNvPicPr/>
                  </pic:nvPicPr>
                  <pic:blipFill>
                    <a:blip r:embed="rId10"/>
                    <a:stretch>
                      <a:fillRect/>
                    </a:stretch>
                  </pic:blipFill>
                  <pic:spPr>
                    <a:xfrm>
                      <a:off x="0" y="0"/>
                      <a:ext cx="6217920" cy="4663440"/>
                    </a:xfrm>
                    <a:prstGeom prst="rect"/>
                  </pic:spPr>
                </pic:pic>
              </a:graphicData>
            </a:graphic>
          </wp:inline>
        </w:drawing>
      </w:r>
    </w:p>
    <w:p>
      <w:r>
        <w:t>Figure 2. Account-selection view used to choose planner or admin access after login is available.</w:t>
      </w:r>
    </w:p>
    <w:p>
      <w:pPr>
        <w:pStyle w:val="Heading2"/>
      </w:pPr>
      <w:r>
        <w:t>Step 2 - Upload Open Orders and Validate Intake Results</w:t>
      </w:r>
    </w:p>
    <w:p>
      <w:pPr>
        <w:pStyle w:val="ListParagraph"/>
      </w:pPr>
      <w:r>
        <w:t>Open Orders and use the Data Intake Hub as the daily intake checkpoint.</w:t>
      </w:r>
    </w:p>
    <w:p>
      <w:pPr>
        <w:pStyle w:val="ListParagraph"/>
      </w:pPr>
      <w:r>
        <w:t>If the freshness badge shows Outdated, open the refresh guide and follow the SharePoint / Excel macro checklist before uploading.</w:t>
      </w:r>
    </w:p>
    <w:p>
      <w:pPr>
        <w:pStyle w:val="ListParagraph"/>
      </w:pPr>
      <w:r>
        <w:t>Click Upload Orders and select the latest exported CSV. The app validates required columns, plant/item values, SKU mapping, and dimensional readiness used for stacking.</w:t>
      </w:r>
    </w:p>
    <w:p>
      <w:pPr>
        <w:pStyle w:val="ListParagraph"/>
      </w:pPr>
      <w:r>
        <w:t>After processing, review Upload Summary counts: total rows, total orders, mapped percent, unmapped SKUs, new orders, changed orders, reopened orders, closed orders, and unchanged orders.</w:t>
      </w:r>
    </w:p>
    <w:p>
      <w:pPr>
        <w:pStyle w:val="ListParagraph"/>
      </w:pPr>
      <w:r>
        <w:t>Review Load Assignment Discrepancies. This highlights orders taken off loads in the source file and orders that still appear on approved tool loads, so planners can decide whether to release them back for replanning or preserve the current approved state.</w:t>
      </w:r>
    </w:p>
    <w:p>
      <w:pPr>
        <w:pStyle w:val="ListParagraph"/>
      </w:pPr>
      <w:r>
        <w:t>If new or changed SKUs are unmapped or missing required dimensions/stack limits, the upload can block until SKU specs are reviewed and saved.</w:t>
      </w:r>
    </w:p>
    <w:p>
      <w:pPr>
        <w:pStyle w:val="ListParagraph"/>
      </w:pPr>
      <w:r>
        <w:t>Use the Unmapped SKUs panel to approve or enter dimensions, category, and stack assumptions. Saved entries flow into Settings and can then be used to finalize the upload.</w:t>
      </w:r>
    </w:p>
    <w:p>
      <w:r>
        <w:drawing>
          <wp:inline xmlns:a="http://schemas.openxmlformats.org/drawingml/2006/main" xmlns:pic="http://schemas.openxmlformats.org/drawingml/2006/picture">
            <wp:extent cx="6217920" cy="4663440"/>
            <wp:docPr id="3" name="Picture 3"/>
            <wp:cNvGraphicFramePr>
              <a:graphicFrameLocks noChangeAspect="1"/>
            </wp:cNvGraphicFramePr>
            <a:graphic>
              <a:graphicData uri="http://schemas.openxmlformats.org/drawingml/2006/picture">
                <pic:pic>
                  <pic:nvPicPr>
                    <pic:cNvPr id="0" name="03_orders_intake_overview.png"/>
                    <pic:cNvPicPr/>
                  </pic:nvPicPr>
                  <pic:blipFill>
                    <a:blip r:embed="rId11"/>
                    <a:stretch>
                      <a:fillRect/>
                    </a:stretch>
                  </pic:blipFill>
                  <pic:spPr>
                    <a:xfrm>
                      <a:off x="0" y="0"/>
                      <a:ext cx="6217920" cy="4663440"/>
                    </a:xfrm>
                    <a:prstGeom prst="rect"/>
                  </pic:spPr>
                </pic:pic>
              </a:graphicData>
            </a:graphic>
          </wp:inline>
        </w:drawing>
      </w:r>
    </w:p>
    <w:p>
      <w:r>
        <w:t>Figure 3. Orders page and Data Intake Hub with freshness status and recent upload outcomes.</w:t>
      </w:r>
    </w:p>
    <w:p>
      <w:r>
        <w:drawing>
          <wp:inline xmlns:a="http://schemas.openxmlformats.org/drawingml/2006/main" xmlns:pic="http://schemas.openxmlformats.org/drawingml/2006/picture">
            <wp:extent cx="6217920" cy="2729021"/>
            <wp:docPr id="4" name="Picture 4"/>
            <wp:cNvGraphicFramePr>
              <a:graphicFrameLocks noChangeAspect="1"/>
            </wp:cNvGraphicFramePr>
            <a:graphic>
              <a:graphicData uri="http://schemas.openxmlformats.org/drawingml/2006/picture">
                <pic:pic>
                  <pic:nvPicPr>
                    <pic:cNvPr id="0" name="04_orders_refresh_guide.png"/>
                    <pic:cNvPicPr/>
                  </pic:nvPicPr>
                  <pic:blipFill>
                    <a:blip r:embed="rId12"/>
                    <a:stretch>
                      <a:fillRect/>
                    </a:stretch>
                  </pic:blipFill>
                  <pic:spPr>
                    <a:xfrm>
                      <a:off x="0" y="0"/>
                      <a:ext cx="6217920" cy="2729021"/>
                    </a:xfrm>
                    <a:prstGeom prst="rect"/>
                  </pic:spPr>
                </pic:pic>
              </a:graphicData>
            </a:graphic>
          </wp:inline>
        </w:drawing>
      </w:r>
    </w:p>
    <w:p>
      <w:r>
        <w:t>Figure 4. Daily refresh checklist shown when the open-order report is outdated.</w:t>
      </w:r>
    </w:p>
    <w:p>
      <w:r>
        <w:drawing>
          <wp:inline xmlns:a="http://schemas.openxmlformats.org/drawingml/2006/main" xmlns:pic="http://schemas.openxmlformats.org/drawingml/2006/picture">
            <wp:extent cx="6217920" cy="7156347"/>
            <wp:docPr id="5" name="Picture 5"/>
            <wp:cNvGraphicFramePr>
              <a:graphicFrameLocks noChangeAspect="1"/>
            </wp:cNvGraphicFramePr>
            <a:graphic>
              <a:graphicData uri="http://schemas.openxmlformats.org/drawingml/2006/picture">
                <pic:pic>
                  <pic:nvPicPr>
                    <pic:cNvPr id="0" name="05_upload_results_checks.png"/>
                    <pic:cNvPicPr/>
                  </pic:nvPicPr>
                  <pic:blipFill>
                    <a:blip r:embed="rId13"/>
                    <a:stretch>
                      <a:fillRect/>
                    </a:stretch>
                  </pic:blipFill>
                  <pic:spPr>
                    <a:xfrm>
                      <a:off x="0" y="0"/>
                      <a:ext cx="6217920" cy="7156347"/>
                    </a:xfrm>
                    <a:prstGeom prst="rect"/>
                  </pic:spPr>
                </pic:pic>
              </a:graphicData>
            </a:graphic>
          </wp:inline>
        </w:drawing>
      </w:r>
    </w:p>
    <w:p>
      <w:r>
        <w:t>Figure 5. Representative upload-results modal showing summary counts, load-assignment discrepancy review, and unmapped SKU capture.</w:t>
      </w:r>
    </w:p>
    <w:p>
      <w:pPr>
        <w:pStyle w:val="Heading2"/>
      </w:pPr>
      <w:r>
        <w:t>Step 3 - Build Draft Loads</w:t>
      </w:r>
    </w:p>
    <w:p>
      <w:pPr>
        <w:pStyle w:val="ListParagraph"/>
      </w:pPr>
      <w:r>
        <w:t>From Orders, click Generate Draft Loads to open Session Config Workbench.</w:t>
      </w:r>
    </w:p>
    <w:p>
      <w:pPr>
        <w:pStyle w:val="ListParagraph"/>
      </w:pPr>
      <w:r>
        <w:t>Set the origin plant, preferred trailer profile, scheduling window, and customer/state scope.</w:t>
      </w:r>
    </w:p>
    <w:p>
      <w:pPr>
        <w:pStyle w:val="ListParagraph"/>
      </w:pPr>
      <w:r>
        <w:t>Use Auto Optimize for standard batch planning runs or Paste Orders for controlled SO-specific load generation.</w:t>
      </w:r>
    </w:p>
    <w:p>
      <w:pPr>
        <w:pStyle w:val="ListParagraph"/>
      </w:pPr>
      <w:r>
        <w:t>Confirm the in-scope order count before running the optimizer.</w:t>
      </w:r>
    </w:p>
    <w:p>
      <w:pPr>
        <w:pStyle w:val="Heading2"/>
      </w:pPr>
      <w:r>
        <w:t>Step 4 - Review, Edit, and Approve Loads</w:t>
      </w:r>
    </w:p>
    <w:p>
      <w:pPr>
        <w:pStyle w:val="ListParagraph"/>
      </w:pPr>
      <w:r>
        <w:t>Use the Loads Review Center to compare draft loads, inspect utilization, warnings, route geography, and freight impact before approving.</w:t>
      </w:r>
    </w:p>
    <w:p>
      <w:pPr>
        <w:pStyle w:val="ListParagraph"/>
      </w:pPr>
      <w:r>
        <w:t>Open a specific load to review route timeline, map, schematic, manifest, utilization grade, estimated miles, and estimated cost in one page.</w:t>
      </w:r>
    </w:p>
    <w:p>
      <w:pPr>
        <w:pStyle w:val="ListParagraph"/>
      </w:pPr>
      <w:r>
        <w:t>Use Edit Schematic from the Loads Review Center to drag units between stacks and decks, reset to the base layout if needed, and save the revised arrangement. The editor surfaces overflow and overhang warnings before save.</w:t>
      </w:r>
    </w:p>
    <w:p>
      <w:pPr>
        <w:pStyle w:val="ListParagraph"/>
      </w:pPr>
      <w:r>
        <w:t>Use Manually Add Orders to search eligible draft-scope orders, preview how added freight changes the footprint, and add selected orders into the current load.</w:t>
      </w:r>
    </w:p>
    <w:p>
      <w:pPr>
        <w:pStyle w:val="ListParagraph"/>
      </w:pPr>
      <w:r>
        <w:t>Use the Trailer Type dropdown to switch trailer profiles when a different deck geometry or capacity is needed. This directly affects stacking and utilization calculations.</w:t>
      </w:r>
    </w:p>
    <w:p>
      <w:pPr>
        <w:pStyle w:val="ListParagraph"/>
      </w:pPr>
      <w:r>
        <w:t>Use Reverse Sequence when the stop order needs to be flipped before approval.</w:t>
      </w:r>
    </w:p>
    <w:p>
      <w:pPr>
        <w:pStyle w:val="ListParagraph"/>
      </w:pPr>
      <w:r>
        <w:t>Use Approve to Draft during working review, then Approve and Lock when the load is ready to finalize. Approved loads become read-only for key layout actions until they are moved back to draft.</w:t>
      </w:r>
    </w:p>
    <w:p>
      <w:r>
        <w:drawing>
          <wp:inline xmlns:a="http://schemas.openxmlformats.org/drawingml/2006/main" xmlns:pic="http://schemas.openxmlformats.org/drawingml/2006/picture">
            <wp:extent cx="6217920" cy="4663440"/>
            <wp:docPr id="6" name="Picture 6"/>
            <wp:cNvGraphicFramePr>
              <a:graphicFrameLocks noChangeAspect="1"/>
            </wp:cNvGraphicFramePr>
            <a:graphic>
              <a:graphicData uri="http://schemas.openxmlformats.org/drawingml/2006/picture">
                <pic:pic>
                  <pic:nvPicPr>
                    <pic:cNvPr id="0" name="07_load_review_center.png"/>
                    <pic:cNvPicPr/>
                  </pic:nvPicPr>
                  <pic:blipFill>
                    <a:blip r:embed="rId14"/>
                    <a:stretch>
                      <a:fillRect/>
                    </a:stretch>
                  </pic:blipFill>
                  <pic:spPr>
                    <a:xfrm>
                      <a:off x="0" y="0"/>
                      <a:ext cx="6217920" cy="4663440"/>
                    </a:xfrm>
                    <a:prstGeom prst="rect"/>
                  </pic:spPr>
                </pic:pic>
              </a:graphicData>
            </a:graphic>
          </wp:inline>
        </w:drawing>
      </w:r>
    </w:p>
    <w:p>
      <w:r>
        <w:t>Figure 6. Loads Review Center with draft-load list, selected-load warnings, edit actions, and trailer selector.</w:t>
      </w:r>
    </w:p>
    <w:p>
      <w:r>
        <w:drawing>
          <wp:inline xmlns:a="http://schemas.openxmlformats.org/drawingml/2006/main" xmlns:pic="http://schemas.openxmlformats.org/drawingml/2006/picture">
            <wp:extent cx="6217920" cy="4663440"/>
            <wp:docPr id="7" name="Picture 7"/>
            <wp:cNvGraphicFramePr>
              <a:graphicFrameLocks noChangeAspect="1"/>
            </wp:cNvGraphicFramePr>
            <a:graphic>
              <a:graphicData uri="http://schemas.openxmlformats.org/drawingml/2006/picture">
                <pic:pic>
                  <pic:nvPicPr>
                    <pic:cNvPr id="0" name="06_load_review_detail.png"/>
                    <pic:cNvPicPr/>
                  </pic:nvPicPr>
                  <pic:blipFill>
                    <a:blip r:embed="rId15"/>
                    <a:stretch>
                      <a:fillRect/>
                    </a:stretch>
                  </pic:blipFill>
                  <pic:spPr>
                    <a:xfrm>
                      <a:off x="0" y="0"/>
                      <a:ext cx="6217920" cy="4663440"/>
                    </a:xfrm>
                    <a:prstGeom prst="rect"/>
                  </pic:spPr>
                </pic:pic>
              </a:graphicData>
            </a:graphic>
          </wp:inline>
        </w:drawing>
      </w:r>
    </w:p>
    <w:p>
      <w:r>
        <w:t>Figure 7. Load detail review page with route, schematic, manifest, approval controls, and trailer-change dropdown.</w:t>
      </w:r>
    </w:p>
    <w:p>
      <w:r>
        <w:drawing>
          <wp:inline xmlns:a="http://schemas.openxmlformats.org/drawingml/2006/main" xmlns:pic="http://schemas.openxmlformats.org/drawingml/2006/picture">
            <wp:extent cx="6217920" cy="5213956"/>
            <wp:docPr id="8" name="Picture 8"/>
            <wp:cNvGraphicFramePr>
              <a:graphicFrameLocks noChangeAspect="1"/>
            </wp:cNvGraphicFramePr>
            <a:graphic>
              <a:graphicData uri="http://schemas.openxmlformats.org/drawingml/2006/picture">
                <pic:pic>
                  <pic:nvPicPr>
                    <pic:cNvPr id="0" name="08_schematic_edit_modal.png"/>
                    <pic:cNvPicPr/>
                  </pic:nvPicPr>
                  <pic:blipFill>
                    <a:blip r:embed="rId16"/>
                    <a:stretch>
                      <a:fillRect/>
                    </a:stretch>
                  </pic:blipFill>
                  <pic:spPr>
                    <a:xfrm>
                      <a:off x="0" y="0"/>
                      <a:ext cx="6217920" cy="5213956"/>
                    </a:xfrm>
                    <a:prstGeom prst="rect"/>
                  </pic:spPr>
                </pic:pic>
              </a:graphicData>
            </a:graphic>
          </wp:inline>
        </w:drawing>
      </w:r>
    </w:p>
    <w:p>
      <w:r>
        <w:t>Figure 8. Edit Schematic modal used to reposition units and resolve fit issues before saving.</w:t>
      </w:r>
    </w:p>
    <w:p>
      <w:r>
        <w:drawing>
          <wp:inline xmlns:a="http://schemas.openxmlformats.org/drawingml/2006/main" xmlns:pic="http://schemas.openxmlformats.org/drawingml/2006/picture">
            <wp:extent cx="6217920" cy="4215539"/>
            <wp:docPr id="9" name="Picture 9"/>
            <wp:cNvGraphicFramePr>
              <a:graphicFrameLocks noChangeAspect="1"/>
            </wp:cNvGraphicFramePr>
            <a:graphic>
              <a:graphicData uri="http://schemas.openxmlformats.org/drawingml/2006/picture">
                <pic:pic>
                  <pic:nvPicPr>
                    <pic:cNvPr id="0" name="09_manual_add_modal.png"/>
                    <pic:cNvPicPr/>
                  </pic:nvPicPr>
                  <pic:blipFill>
                    <a:blip r:embed="rId17"/>
                    <a:stretch>
                      <a:fillRect/>
                    </a:stretch>
                  </pic:blipFill>
                  <pic:spPr>
                    <a:xfrm>
                      <a:off x="0" y="0"/>
                      <a:ext cx="6217920" cy="4215539"/>
                    </a:xfrm>
                    <a:prstGeom prst="rect"/>
                  </pic:spPr>
                </pic:pic>
              </a:graphicData>
            </a:graphic>
          </wp:inline>
        </w:drawing>
      </w:r>
    </w:p>
    <w:p>
      <w:r>
        <w:t>Figure 9. Manually Add Orders modal used to preview footprint impact before adding draft-scope orders to the load.</w:t>
      </w:r>
    </w:p>
    <w:p>
      <w:pPr>
        <w:pStyle w:val="Heading2"/>
      </w:pPr>
      <w:r>
        <w:t>Step 5 - Maintain Settings and Assumption Quality</w:t>
      </w:r>
    </w:p>
    <w:p>
      <w:pPr>
        <w:pStyle w:val="ListParagraph"/>
      </w:pPr>
      <w:r>
        <w:t>Use Settings to maintain rates, trailer defaults, SKU dimensions, and lookup mappings.</w:t>
      </w:r>
    </w:p>
    <w:p>
      <w:pPr>
        <w:pStyle w:val="ListParagraph"/>
      </w:pPr>
      <w:r>
        <w:t>Treat SKU and lookup edits as operational changes. Incorrect dimensions or mappings cascade directly into bad fit logic, utilization outcomes, and route economics.</w:t>
      </w:r>
    </w:p>
    <w:p>
      <w:pPr>
        <w:pStyle w:val="ListParagraph"/>
      </w:pPr>
      <w:r>
        <w:t>After changing settings that affect active planning work, re-open the impacted session and re-check fit and utilization behavior.</w:t>
      </w:r>
    </w:p>
    <w:p>
      <w:pPr>
        <w:pStyle w:val="Heading2"/>
      </w:pPr>
      <w:r>
        <w:t>Step 6 - Use Session History, Load Reports, and Exports</w:t>
      </w:r>
    </w:p>
    <w:p>
      <w:pPr>
        <w:pStyle w:val="ListParagraph"/>
      </w:pPr>
      <w:r>
        <w:t>Use Session History to resume work, review archived runs, and preserve planning continuity across days.</w:t>
      </w:r>
    </w:p>
    <w:p>
      <w:pPr>
        <w:pStyle w:val="ListParagraph"/>
      </w:pPr>
      <w:r>
        <w:t>Open session detail to review optimizer parameters, generated loads, and historical context before replaying or exporting results.</w:t>
      </w:r>
    </w:p>
    <w:p>
      <w:pPr>
        <w:pStyle w:val="ListParagraph"/>
      </w:pPr>
      <w:r>
        <w:t>Use Load Report and Export Excel outputs for downstream operational handoff once loads are finalized.</w:t>
      </w:r>
    </w:p>
    <w:p>
      <w:pPr>
        <w:pStyle w:val="Heading1"/>
      </w:pPr>
      <w:r>
        <w:t>Settings and Assumption Management</w:t>
      </w:r>
    </w:p>
    <w:p>
      <w:r>
        <w:t>Settings are the operational knowledge base behind optimization quality. Intake mapping, stack behavior, trailer fit, and cost outputs all depend on current settings being accurate.</w:t>
      </w:r>
    </w:p>
    <w:p>
      <w:pPr>
        <w:pStyle w:val="Heading2"/>
      </w:pPr>
      <w:r>
        <w:t>What Is Configured in Settings</w:t>
      </w:r>
    </w:p>
    <w:p>
      <w:pPr>
        <w:pStyle w:val="ListParagraph"/>
      </w:pPr>
      <w:r>
        <w:t>Rate matrix by origin plant and destination state</w:t>
      </w:r>
    </w:p>
    <w:p>
      <w:pPr>
        <w:pStyle w:val="ListParagraph"/>
      </w:pPr>
      <w:r>
        <w:t>Stop fee, load minimum, and fuel surcharge assumptions</w:t>
      </w:r>
    </w:p>
    <w:p>
      <w:pPr>
        <w:pStyle w:val="ListParagraph"/>
      </w:pPr>
      <w:r>
        <w:t>SKU dimensions, stack heights, and footprint logic</w:t>
      </w:r>
    </w:p>
    <w:p>
      <w:pPr>
        <w:pStyle w:val="ListParagraph"/>
      </w:pPr>
      <w:r>
        <w:t>Item-to-SKU lookup mappings used during intake normalization</w:t>
      </w:r>
    </w:p>
    <w:p>
      <w:pPr>
        <w:pStyle w:val="ListParagraph"/>
      </w:pPr>
      <w:r>
        <w:t>Plant trailer defaults, trailer profiles, and optimizer defaults</w:t>
      </w:r>
    </w:p>
    <w:p>
      <w:pPr>
        <w:pStyle w:val="ListParagraph"/>
      </w:pPr>
      <w:r>
        <w:t>Utilization grade thresholds used across Orders, Loads, and reports</w:t>
      </w:r>
    </w:p>
    <w:p>
      <w:pPr>
        <w:pStyle w:val="Heading2"/>
      </w:pPr>
      <w:r>
        <w:t>How Intake and Review Depend on Settings Quality</w:t>
      </w:r>
    </w:p>
    <w:p>
      <w:pPr>
        <w:pStyle w:val="ListParagraph"/>
      </w:pPr>
      <w:r>
        <w:t>Uploads can block when new SKUs are unmapped or when mapped SKUs lack required dimensions/stack rules.</w:t>
      </w:r>
    </w:p>
    <w:p>
      <w:pPr>
        <w:pStyle w:val="ListParagraph"/>
      </w:pPr>
      <w:r>
        <w:t>Schematic edits and manual-add previews rely on the same deck, stack, and trailer assumptions stored in Settings.</w:t>
      </w:r>
    </w:p>
    <w:p>
      <w:pPr>
        <w:pStyle w:val="ListParagraph"/>
      </w:pPr>
      <w:r>
        <w:t>Load-cost outputs rely on current rate and surcharge configuration.</w:t>
      </w:r>
    </w:p>
    <w:p>
      <w:pPr>
        <w:pStyle w:val="Heading1"/>
      </w:pPr>
      <w:r>
        <w:t>Operational Guardrails and Common Mistakes</w:t>
      </w:r>
    </w:p>
    <w:tbl>
      <w:tblPr>
        <w:tblStyle w:val="TableGrid"/>
        <w:tblW w:type="auto" w:w="0"/>
        <w:tblLook w:firstColumn="1" w:firstRow="1" w:lastColumn="0" w:lastRow="0" w:noHBand="0" w:noVBand="1" w:val="04A0"/>
      </w:tblPr>
      <w:tblGrid>
        <w:gridCol w:w="10080"/>
      </w:tblGrid>
      <w:tr>
        <w:tc>
          <w:tcPr>
            <w:tcW w:type="dxa" w:w="10080"/>
          </w:tcPr>
          <w:p>
            <w:r>
              <w:t>Operating Guardrail: COT is decision support, not a compliance authority. Final shipping release still requires carrier judgment and route or regulatory checks. Run daily intake before optimization, review discrepancy flags during uploads, and treat SKU, lookup, and rate edits as controlled operational data changes.</w:t>
            </w:r>
          </w:p>
        </w:tc>
      </w:tr>
    </w:tbl>
    <w:p>
      <w:pPr>
        <w:pStyle w:val="Heading1"/>
      </w:pPr>
      <w:r>
        <w:t>Quick Tips</w:t>
      </w:r>
    </w:p>
    <w:p>
      <w:pPr>
        <w:pStyle w:val="ListParagraph"/>
      </w:pPr>
      <w:r>
        <w:t>If the freshness badge is Outdated, complete the refresh guide before generating new draft loads.</w:t>
      </w:r>
    </w:p>
    <w:p>
      <w:pPr>
        <w:pStyle w:val="ListParagraph"/>
      </w:pPr>
      <w:r>
        <w:t>If an upload blocks, resolve unmapped SKUs first; do not skip missing fit assumptions.</w:t>
      </w:r>
    </w:p>
    <w:p>
      <w:pPr>
        <w:pStyle w:val="ListParagraph"/>
      </w:pPr>
      <w:r>
        <w:t>Use the Loads Review Center for side-by-side draft comparison, then use load detail for final approval checks.</w:t>
      </w:r>
    </w:p>
    <w:p>
      <w:pPr>
        <w:pStyle w:val="ListParagraph"/>
      </w:pPr>
      <w:r>
        <w:t>Change trailer type before final approval if geometry or capacity assumptions need to change.</w:t>
      </w:r>
    </w:p>
    <w:p>
      <w:pPr>
        <w:pStyle w:val="ListParagraph"/>
      </w:pPr>
      <w:r>
        <w:t>Use Session History instead of recreating partially completed planning work.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