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COT Load Utilization Framework and Finance Handoff Guide</w:t>
      </w:r>
    </w:p>
    <w:p>
      <w:pPr>
        <w:jc w:val="center"/>
      </w:pPr>
      <w:r>
        <w:t>Updated for current tool logic and historical utilization script workflow</w:t>
      </w:r>
    </w:p>
    <w:p>
      <w:r>
        <w:t>Source basis: COT Load Utilization Framework (v1 12.23.25). This handoff preserves the same business framing while updating calculations to match the current optimization engine and script behavior in AppDev-V2.</w:t>
      </w:r>
    </w:p>
    <w:p>
      <w:pPr>
        <w:pStyle w:val="Heading1"/>
      </w:pPr>
      <w:r>
        <w:t>1. Overview</w:t>
      </w:r>
    </w:p>
    <w:p>
      <w:r>
        <w:t>This framework defines how load utilization is estimated for historical loads. The primary metric remains space-based utilization, but the calculation now reflects current tool mechanics including trailer defaults, upper-deck handling, two-across treatment, and overflow guardrails.</w:t>
      </w:r>
    </w:p>
    <w:p>
      <w:r>
        <w:t>Key principles:</w:t>
      </w:r>
    </w:p>
    <w:p>
      <w:pPr>
        <w:pStyle w:val="ListBullet"/>
      </w:pPr>
      <w:r>
        <w:t>Each stack position consumes trailer length based on the longest unit in that position.</w:t>
      </w:r>
    </w:p>
    <w:p>
      <w:pPr>
        <w:pStyle w:val="ListBullet"/>
      </w:pPr>
      <w:r>
        <w:t>Vertical fill drives position credit (full stacks receive full credit; partial stacks receive proportional credit).</w:t>
      </w:r>
    </w:p>
    <w:p>
      <w:pPr>
        <w:pStyle w:val="ListBullet"/>
      </w:pPr>
      <w:r>
        <w:t>Mixed-SKU positions are allowed when physical stacking constraints are met.</w:t>
      </w:r>
    </w:p>
    <w:p>
      <w:pPr>
        <w:pStyle w:val="ListBullet"/>
      </w:pPr>
      <w:r>
        <w:t>Final utilization is computed from credited feet divided by trailer capacity feet.</w:t>
      </w:r>
    </w:p>
    <w:p>
      <w:pPr>
        <w:pStyle w:val="Heading1"/>
      </w:pPr>
      <w:r>
        <w:t>2. Trailer Specifications Used by the Tool</w:t>
      </w:r>
    </w:p>
    <w:p>
      <w:r>
        <w:t>Current trailer profiles in stack calculator: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Trailer Type</w:t>
            </w:r>
          </w:p>
        </w:tc>
        <w:tc>
          <w:tcPr>
            <w:tcW w:type="dxa" w:w="2160"/>
          </w:tcPr>
          <w:p>
            <w:r>
              <w:t>Capacity (ft)</w:t>
            </w:r>
          </w:p>
        </w:tc>
        <w:tc>
          <w:tcPr>
            <w:tcW w:type="dxa" w:w="2160"/>
          </w:tcPr>
          <w:p>
            <w:r>
              <w:t>Lower Deck (ft)</w:t>
            </w:r>
          </w:p>
        </w:tc>
        <w:tc>
          <w:tcPr>
            <w:tcW w:type="dxa" w:w="2160"/>
          </w:tcPr>
          <w:p>
            <w:r>
              <w:t>Upper Deck (ft)</w:t>
            </w:r>
          </w:p>
        </w:tc>
      </w:tr>
      <w:tr>
        <w:tc>
          <w:tcPr>
            <w:tcW w:type="dxa" w:w="2160"/>
          </w:tcPr>
          <w:p>
            <w:r>
              <w:t>STEP_DECK</w:t>
            </w:r>
          </w:p>
        </w:tc>
        <w:tc>
          <w:tcPr>
            <w:tcW w:type="dxa" w:w="2160"/>
          </w:tcPr>
          <w:p>
            <w:r>
              <w:t>53</w:t>
            </w:r>
          </w:p>
        </w:tc>
        <w:tc>
          <w:tcPr>
            <w:tcW w:type="dxa" w:w="2160"/>
          </w:tcPr>
          <w:p>
            <w:r>
              <w:t>43</w:t>
            </w:r>
          </w:p>
        </w:tc>
        <w:tc>
          <w:tcPr>
            <w:tcW w:type="dxa" w:w="2160"/>
          </w:tcPr>
          <w:p>
            <w:r>
              <w:t>10</w:t>
            </w:r>
          </w:p>
        </w:tc>
      </w:tr>
      <w:tr>
        <w:tc>
          <w:tcPr>
            <w:tcW w:type="dxa" w:w="2160"/>
          </w:tcPr>
          <w:p>
            <w:r>
              <w:t>STEP_DECK_48</w:t>
            </w:r>
          </w:p>
        </w:tc>
        <w:tc>
          <w:tcPr>
            <w:tcW w:type="dxa" w:w="2160"/>
          </w:tcPr>
          <w:p>
            <w:r>
              <w:t>48</w:t>
            </w:r>
          </w:p>
        </w:tc>
        <w:tc>
          <w:tcPr>
            <w:tcW w:type="dxa" w:w="2160"/>
          </w:tcPr>
          <w:p>
            <w:r>
              <w:t>38</w:t>
            </w:r>
          </w:p>
        </w:tc>
        <w:tc>
          <w:tcPr>
            <w:tcW w:type="dxa" w:w="2160"/>
          </w:tcPr>
          <w:p>
            <w:r>
              <w:t>10</w:t>
            </w:r>
          </w:p>
        </w:tc>
      </w:tr>
      <w:tr>
        <w:tc>
          <w:tcPr>
            <w:tcW w:type="dxa" w:w="2160"/>
          </w:tcPr>
          <w:p>
            <w:r>
              <w:t>FLATBED</w:t>
            </w:r>
          </w:p>
        </w:tc>
        <w:tc>
          <w:tcPr>
            <w:tcW w:type="dxa" w:w="2160"/>
          </w:tcPr>
          <w:p>
            <w:r>
              <w:t>53</w:t>
            </w:r>
          </w:p>
        </w:tc>
        <w:tc>
          <w:tcPr>
            <w:tcW w:type="dxa" w:w="2160"/>
          </w:tcPr>
          <w:p>
            <w:r>
              <w:t>53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FLATBED_48</w:t>
            </w:r>
          </w:p>
        </w:tc>
        <w:tc>
          <w:tcPr>
            <w:tcW w:type="dxa" w:w="2160"/>
          </w:tcPr>
          <w:p>
            <w:r>
              <w:t>48</w:t>
            </w:r>
          </w:p>
        </w:tc>
        <w:tc>
          <w:tcPr>
            <w:tcW w:type="dxa" w:w="2160"/>
          </w:tcPr>
          <w:p>
            <w:r>
              <w:t>48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WEDGE</w:t>
            </w:r>
          </w:p>
        </w:tc>
        <w:tc>
          <w:tcPr>
            <w:tcW w:type="dxa" w:w="2160"/>
          </w:tcPr>
          <w:p>
            <w:r>
              <w:t>51</w:t>
            </w:r>
          </w:p>
        </w:tc>
        <w:tc>
          <w:tcPr>
            <w:tcW w:type="dxa" w:w="2160"/>
          </w:tcPr>
          <w:p>
            <w:r>
              <w:t>51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HOTSHOT</w:t>
            </w:r>
          </w:p>
        </w:tc>
        <w:tc>
          <w:tcPr>
            <w:tcW w:type="dxa" w:w="2160"/>
          </w:tcPr>
          <w:p>
            <w:r>
              <w:t>40</w:t>
            </w:r>
          </w:p>
        </w:tc>
        <w:tc>
          <w:tcPr>
            <w:tcW w:type="dxa" w:w="2160"/>
          </w:tcPr>
          <w:p>
            <w:r>
              <w:t>40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</w:tbl>
    <w:p>
      <w:r>
        <w:t>Default trailer assumptions by origin plant in current logic:</w:t>
      </w:r>
    </w:p>
    <w:p>
      <w:pPr>
        <w:pStyle w:val="ListBullet"/>
      </w:pPr>
      <w:r>
        <w:t>VA -&gt; FLATBED_48</w:t>
      </w:r>
    </w:p>
    <w:p>
      <w:pPr>
        <w:pStyle w:val="ListBullet"/>
      </w:pPr>
      <w:r>
        <w:t>NV -&gt; STEP_DECK_48</w:t>
      </w:r>
    </w:p>
    <w:p>
      <w:pPr>
        <w:pStyle w:val="ListBullet"/>
      </w:pPr>
      <w:r>
        <w:t>All other plants -&gt; STEP_DECK</w:t>
      </w:r>
    </w:p>
    <w:p>
      <w:pPr>
        <w:pStyle w:val="ListBullet"/>
      </w:pPr>
      <w:r>
        <w:t>If origin plant is blank, script uses the first two letters of load number as fallback.</w:t>
      </w:r>
    </w:p>
    <w:p>
      <w:pPr>
        <w:pStyle w:val="Heading1"/>
      </w:pPr>
      <w:r>
        <w:t>3. Capacity and Stacking Process (Current Engine)</w:t>
      </w:r>
    </w:p>
    <w:p>
      <w:pPr>
        <w:pStyle w:val="Heading2"/>
      </w:pPr>
      <w:r>
        <w:t>3.1 Data Preparation</w:t>
      </w:r>
    </w:p>
    <w:p>
      <w:pPr>
        <w:pStyle w:val="ListBullet"/>
      </w:pPr>
      <w:r>
        <w:t>Read historical order report rows (load number, SO #, SKU, qty, origin plant).</w:t>
      </w:r>
    </w:p>
    <w:p>
      <w:pPr>
        <w:pStyle w:val="ListBullet"/>
      </w:pPr>
      <w:r>
        <w:t>Map each SKU to cheat sheet specs: length_with_tongue_ft, max_stack_step_deck, max_stack_flat_bed, category.</w:t>
      </w:r>
    </w:p>
    <w:p>
      <w:pPr>
        <w:pStyle w:val="ListBullet"/>
      </w:pPr>
      <w:r>
        <w:t>Choose trailer for each load using override -&gt; reported trailer -&gt; plant default -&gt; load-prefix fallback.</w:t>
      </w:r>
    </w:p>
    <w:p>
      <w:pPr>
        <w:pStyle w:val="Heading2"/>
      </w:pPr>
      <w:r>
        <w:t>3.2 Position Build Logic</w:t>
      </w:r>
    </w:p>
    <w:p>
      <w:pPr>
        <w:pStyle w:val="ListBullet"/>
      </w:pPr>
      <w:r>
        <w:t>Units are assigned into positions using each SKU's max stack height for the selected trailer type.</w:t>
      </w:r>
    </w:p>
    <w:p>
      <w:pPr>
        <w:pStyle w:val="ListBullet"/>
      </w:pPr>
      <w:r>
        <w:t>Mixed positions are allowed when length/order/stop constraints remain valid.</w:t>
      </w:r>
    </w:p>
    <w:p>
      <w:pPr>
        <w:pStyle w:val="ListBullet"/>
      </w:pPr>
      <w:r>
        <w:t>For step deck upper deck, short positions may receive two-across treatment using configured threshold length.</w:t>
      </w:r>
    </w:p>
    <w:p>
      <w:pPr>
        <w:pStyle w:val="ListBullet"/>
      </w:pPr>
      <w:r>
        <w:t>A controlled singleton overflow allowance can add one extra unit to certain mixed full stacks.</w:t>
      </w:r>
    </w:p>
    <w:p>
      <w:pPr>
        <w:pStyle w:val="Heading2"/>
      </w:pPr>
      <w:r>
        <w:t>3.3 Capacity Check</w:t>
      </w:r>
    </w:p>
    <w:p>
      <w:pPr>
        <w:pStyle w:val="ListBullet"/>
      </w:pPr>
      <w:r>
        <w:t>Lower and upper deck usage is tracked separately.</w:t>
      </w:r>
    </w:p>
    <w:p>
      <w:pPr>
        <w:pStyle w:val="ListBullet"/>
      </w:pPr>
      <w:r>
        <w:t>Back overhang and upper-deck exception overhang allowances are applied by configured rules.</w:t>
      </w:r>
    </w:p>
    <w:p>
      <w:pPr>
        <w:pStyle w:val="ListBullet"/>
      </w:pPr>
      <w:r>
        <w:t>Loads exceeding allowed deck/overhang constraints are flagged (exceeds_capacity = True).</w:t>
      </w:r>
    </w:p>
    <w:p>
      <w:pPr>
        <w:pStyle w:val="Heading1"/>
      </w:pPr>
      <w:r>
        <w:t>4. Utilization Calculation</w:t>
      </w:r>
    </w:p>
    <w:p>
      <w:r>
        <w:t>The current engine computes utilization using credited feet, not only raw occupied feet.</w:t>
      </w:r>
    </w:p>
    <w:p>
      <w:pPr>
        <w:pStyle w:val="ListBullet"/>
      </w:pPr>
      <w:r>
        <w:t>Core formula:</w:t>
      </w:r>
    </w:p>
    <w:p>
      <w:pPr>
        <w:pStyle w:val="ListBullet"/>
      </w:pPr>
      <w:r>
        <w:t>utilization_pct = (utilization_credit_ft / capacity_feet_used) x 100</w:t>
      </w:r>
    </w:p>
    <w:p>
      <w:pPr>
        <w:pStyle w:val="ListBullet"/>
      </w:pPr>
      <w:r>
        <w:t>Position credit concept:</w:t>
      </w:r>
    </w:p>
    <w:p>
      <w:pPr>
        <w:pStyle w:val="ListBullet"/>
      </w:pPr>
      <w:r>
        <w:t>position_credit_ft = position_length_ft x position_credit_multiplier</w:t>
      </w:r>
    </w:p>
    <w:p>
      <w:r>
        <w:t>Where position_credit_multiplier is driven by vertical fill and controlled overflow rules.</w:t>
      </w:r>
    </w:p>
    <w:p>
      <w:r>
        <w:t>Additional current-engine behaviors:</w:t>
      </w:r>
    </w:p>
    <w:p>
      <w:pPr>
        <w:pStyle w:val="ListBullet"/>
      </w:pPr>
      <w:r>
        <w:t>Upper-deck effective length can differ from raw length when two-across is applied.</w:t>
      </w:r>
    </w:p>
    <w:p>
      <w:pPr>
        <w:pStyle w:val="ListBullet"/>
      </w:pPr>
      <w:r>
        <w:t>For step deck loads with partially occupied upper deck, upper credit is normalized to full upper-deck basis.</w:t>
      </w:r>
    </w:p>
    <w:p>
      <w:pPr>
        <w:pStyle w:val="ListBullet"/>
      </w:pPr>
      <w:r>
        <w:t>Grade thresholds are settings-driven (defaults: A &gt;= 85, B &gt;= 70, C &gt;= 55, D &gt;= 40, else F).</w:t>
      </w:r>
    </w:p>
    <w:p>
      <w:pPr>
        <w:pStyle w:val="Heading1"/>
      </w:pPr>
      <w:r>
        <w:t>5. Worked Utilization Example (From Script Output)</w:t>
      </w:r>
    </w:p>
    <w:p>
      <w:r>
        <w:t>Example load: VA26-1001</w:t>
      </w:r>
    </w:p>
    <w:p>
      <w:pPr>
        <w:pStyle w:val="ListBullet"/>
      </w:pPr>
      <w:r>
        <w:t>Trailer type used: FLATBED_48</w:t>
      </w:r>
    </w:p>
    <w:p>
      <w:pPr>
        <w:pStyle w:val="ListBullet"/>
      </w:pPr>
      <w:r>
        <w:t>capacity_feet_used: 48.0</w:t>
      </w:r>
    </w:p>
    <w:p>
      <w:pPr>
        <w:pStyle w:val="ListBullet"/>
      </w:pPr>
      <w:r>
        <w:t>utilization_credit_ft: 33.6</w:t>
      </w:r>
    </w:p>
    <w:p>
      <w:pPr>
        <w:pStyle w:val="ListBullet"/>
      </w:pPr>
      <w:r>
        <w:t>utilization_pct = 33.6 / 48.0 x 100 = 70.0%</w:t>
      </w:r>
    </w:p>
    <w:p>
      <w:pPr>
        <w:pStyle w:val="ListBullet"/>
      </w:pPr>
      <w:r>
        <w:t>Resulting grade (default thresholds): B</w:t>
      </w:r>
    </w:p>
    <w:p>
      <w:r>
        <w:t>Interpretation: this is a modeled best-guess reconstruction using the same stack assumptions as the tool; it is not a physical loading audit.</w:t>
      </w:r>
    </w:p>
    <w:p>
      <w:pPr>
        <w:pStyle w:val="Heading1"/>
      </w:pPr>
      <w:r>
        <w:t>6. Historical Script Instructions for Finance</w:t>
      </w:r>
    </w:p>
    <w:p>
      <w:r>
        <w:t>Script file:</w:t>
      </w:r>
    </w:p>
    <w:p>
      <w:pPr>
        <w:pStyle w:val="ListBullet"/>
      </w:pPr>
      <w:r>
        <w:t>scripts/historical_load_utilization_report.py</w:t>
      </w:r>
    </w:p>
    <w:p>
      <w:r>
        <w:t>Primary run command:</w:t>
      </w:r>
    </w:p>
    <w:p>
      <w:pPr>
        <w:pStyle w:val="ListBullet"/>
      </w:pPr>
      <w:r>
        <w:t>python scripts/historical_load_utilization_report.py --order-report &lt;input.csv or .xlsx&gt; --output &lt;output.csv&gt;</w:t>
      </w:r>
    </w:p>
    <w:p>
      <w:r>
        <w:t>Optional parameters:</w:t>
      </w:r>
    </w:p>
    <w:p>
      <w:pPr>
        <w:pStyle w:val="ListBullet"/>
      </w:pPr>
      <w:r>
        <w:t>--sku-cheat-sheet &lt;path&gt; (override default cheat sheet source)</w:t>
      </w:r>
    </w:p>
    <w:p>
      <w:pPr>
        <w:pStyle w:val="ListBullet"/>
      </w:pPr>
      <w:r>
        <w:t>--load-trailers &lt;path&gt; (load-level trailer/capacity overrides)</w:t>
      </w:r>
    </w:p>
    <w:p>
      <w:pPr>
        <w:pStyle w:val="Heading1"/>
      </w:pPr>
      <w:r>
        <w:t>7. Finance Input Template (Expected Headers)</w:t>
      </w:r>
    </w:p>
    <w:p>
      <w:r>
        <w:t>Template file provided: docs/examples/historical_order_report_finance_template.csv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load_number</w:t>
            </w:r>
          </w:p>
        </w:tc>
        <w:tc>
          <w:tcPr>
            <w:tcW w:type="dxa" w:w="785"/>
          </w:tcPr>
          <w:p>
            <w:r>
              <w:t>so_num</w:t>
            </w:r>
          </w:p>
        </w:tc>
        <w:tc>
          <w:tcPr>
            <w:tcW w:type="dxa" w:w="785"/>
          </w:tcPr>
          <w:p>
            <w:r>
              <w:t>sku</w:t>
            </w:r>
          </w:p>
        </w:tc>
        <w:tc>
          <w:tcPr>
            <w:tcW w:type="dxa" w:w="785"/>
          </w:tcPr>
          <w:p>
            <w:r>
              <w:t>qty</w:t>
            </w:r>
          </w:p>
        </w:tc>
        <w:tc>
          <w:tcPr>
            <w:tcW w:type="dxa" w:w="785"/>
          </w:tcPr>
          <w:p>
            <w:r>
              <w:t>origin_plant</w:t>
            </w:r>
          </w:p>
        </w:tc>
        <w:tc>
          <w:tcPr>
            <w:tcW w:type="dxa" w:w="785"/>
          </w:tcPr>
          <w:p>
            <w:r>
              <w:t>destination_state</w:t>
            </w:r>
          </w:p>
        </w:tc>
        <w:tc>
          <w:tcPr>
            <w:tcW w:type="dxa" w:w="785"/>
          </w:tcPr>
          <w:p>
            <w:r>
              <w:t>destination_zip</w:t>
            </w:r>
          </w:p>
        </w:tc>
        <w:tc>
          <w:tcPr>
            <w:tcW w:type="dxa" w:w="785"/>
          </w:tcPr>
          <w:p>
            <w:r>
              <w:t>trailer_type</w:t>
            </w:r>
          </w:p>
        </w:tc>
        <w:tc>
          <w:tcPr>
            <w:tcW w:type="dxa" w:w="785"/>
          </w:tcPr>
          <w:p>
            <w:r>
              <w:t>capacity_feet</w:t>
            </w:r>
          </w:p>
        </w:tc>
        <w:tc>
          <w:tcPr>
            <w:tcW w:type="dxa" w:w="785"/>
          </w:tcPr>
          <w:p>
            <w:r>
              <w:t>item_desc</w:t>
            </w:r>
          </w:p>
        </w:tc>
        <w:tc>
          <w:tcPr>
            <w:tcW w:type="dxa" w:w="785"/>
          </w:tcPr>
          <w:p>
            <w:r>
              <w:t>stop_sequence</w:t>
            </w:r>
          </w:p>
        </w:tc>
      </w:tr>
      <w:tr>
        <w:tc>
          <w:tcPr>
            <w:tcW w:type="dxa" w:w="785"/>
          </w:tcPr>
          <w:p>
            <w:r>
              <w:t>GA26-2001</w:t>
            </w:r>
          </w:p>
        </w:tc>
        <w:tc>
          <w:tcPr>
            <w:tcW w:type="dxa" w:w="785"/>
          </w:tcPr>
          <w:p>
            <w:r>
              <w:t>SO-1001</w:t>
            </w:r>
          </w:p>
        </w:tc>
        <w:tc>
          <w:tcPr>
            <w:tcW w:type="dxa" w:w="785"/>
          </w:tcPr>
          <w:p>
            <w:r>
              <w:t>5.5X10GWPR</w:t>
            </w:r>
          </w:p>
        </w:tc>
        <w:tc>
          <w:tcPr>
            <w:tcW w:type="dxa" w:w="785"/>
          </w:tcPr>
          <w:p>
            <w:r>
              <w:t>4</w:t>
            </w:r>
          </w:p>
        </w:tc>
        <w:tc>
          <w:tcPr>
            <w:tcW w:type="dxa" w:w="785"/>
          </w:tcPr>
          <w:p>
            <w:r>
              <w:t>GA</w:t>
            </w:r>
          </w:p>
        </w:tc>
        <w:tc>
          <w:tcPr>
            <w:tcW w:type="dxa" w:w="785"/>
          </w:tcPr>
          <w:p>
            <w:r>
              <w:t>NC</w:t>
            </w:r>
          </w:p>
        </w:tc>
        <w:tc>
          <w:tcPr>
            <w:tcW w:type="dxa" w:w="785"/>
          </w:tcPr>
          <w:p>
            <w:r>
              <w:t>27513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None</w:t>
            </w:r>
          </w:p>
        </w:tc>
      </w:tr>
      <w:tr>
        <w:tc>
          <w:tcPr>
            <w:tcW w:type="dxa" w:w="785"/>
          </w:tcPr>
          <w:p>
            <w:r>
              <w:t>GA26-2001</w:t>
            </w:r>
          </w:p>
        </w:tc>
        <w:tc>
          <w:tcPr>
            <w:tcW w:type="dxa" w:w="785"/>
          </w:tcPr>
          <w:p>
            <w:r>
              <w:t>SO-1002</w:t>
            </w:r>
          </w:p>
        </w:tc>
        <w:tc>
          <w:tcPr>
            <w:tcW w:type="dxa" w:w="785"/>
          </w:tcPr>
          <w:p>
            <w:r>
              <w:t>5X10DUMPLP10K</w:t>
            </w:r>
          </w:p>
        </w:tc>
        <w:tc>
          <w:tcPr>
            <w:tcW w:type="dxa" w:w="785"/>
          </w:tcPr>
          <w:p>
            <w:r>
              <w:t>2</w:t>
            </w:r>
          </w:p>
        </w:tc>
        <w:tc>
          <w:tcPr>
            <w:tcW w:type="dxa" w:w="785"/>
          </w:tcPr>
          <w:p>
            <w:r>
              <w:t>GA</w:t>
            </w:r>
          </w:p>
        </w:tc>
        <w:tc>
          <w:tcPr>
            <w:tcW w:type="dxa" w:w="785"/>
          </w:tcPr>
          <w:p>
            <w:r>
              <w:t>SC</w:t>
            </w:r>
          </w:p>
        </w:tc>
        <w:tc>
          <w:tcPr>
            <w:tcW w:type="dxa" w:w="785"/>
          </w:tcPr>
          <w:p>
            <w:r>
              <w:t>29601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None</w:t>
            </w:r>
          </w:p>
        </w:tc>
      </w:tr>
      <w:tr>
        <w:tc>
          <w:tcPr>
            <w:tcW w:type="dxa" w:w="785"/>
          </w:tcPr>
          <w:p>
            <w:r>
              <w:t>VA26-1001</w:t>
            </w:r>
          </w:p>
        </w:tc>
        <w:tc>
          <w:tcPr>
            <w:tcW w:type="dxa" w:w="785"/>
          </w:tcPr>
          <w:p>
            <w:r>
              <w:t>SO-2001</w:t>
            </w:r>
          </w:p>
        </w:tc>
        <w:tc>
          <w:tcPr>
            <w:tcW w:type="dxa" w:w="785"/>
          </w:tcPr>
          <w:p>
            <w:r>
              <w:t>5X10DUMPLP10K</w:t>
            </w:r>
          </w:p>
        </w:tc>
        <w:tc>
          <w:tcPr>
            <w:tcW w:type="dxa" w:w="785"/>
          </w:tcPr>
          <w:p>
            <w:r>
              <w:t>3</w:t>
            </w:r>
          </w:p>
        </w:tc>
        <w:tc>
          <w:tcPr>
            <w:tcW w:type="dxa" w:w="785"/>
          </w:tcPr>
          <w:p>
            <w:r>
              <w:t>VA</w:t>
            </w:r>
          </w:p>
        </w:tc>
        <w:tc>
          <w:tcPr>
            <w:tcW w:type="dxa" w:w="785"/>
          </w:tcPr>
          <w:p>
            <w:r>
              <w:t>VA</w:t>
            </w:r>
          </w:p>
        </w:tc>
        <w:tc>
          <w:tcPr>
            <w:tcW w:type="dxa" w:w="785"/>
          </w:tcPr>
          <w:p>
            <w:r>
              <w:t>22572</w:t>
            </w:r>
          </w:p>
        </w:tc>
        <w:tc>
          <w:tcPr>
            <w:tcW w:type="dxa" w:w="785"/>
          </w:tcPr>
          <w:p>
            <w:r>
              <w:t>FLATBED_48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</w:tr>
      <w:tr>
        <w:tc>
          <w:tcPr>
            <w:tcW w:type="dxa" w:w="785"/>
          </w:tcPr>
          <w:p>
            <w:r>
              <w:t>VA26-1001</w:t>
            </w:r>
          </w:p>
        </w:tc>
        <w:tc>
          <w:tcPr>
            <w:tcW w:type="dxa" w:w="785"/>
          </w:tcPr>
          <w:p>
            <w:r>
              <w:t>SO-2002</w:t>
            </w:r>
          </w:p>
        </w:tc>
        <w:tc>
          <w:tcPr>
            <w:tcW w:type="dxa" w:w="785"/>
          </w:tcPr>
          <w:p>
            <w:r>
              <w:t>4X6G</w:t>
            </w:r>
          </w:p>
        </w:tc>
        <w:tc>
          <w:tcPr>
            <w:tcW w:type="dxa" w:w="785"/>
          </w:tcPr>
          <w:p>
            <w:r>
              <w:t>6</w:t>
            </w:r>
          </w:p>
        </w:tc>
        <w:tc>
          <w:tcPr>
            <w:tcW w:type="dxa" w:w="785"/>
          </w:tcPr>
          <w:p>
            <w:r>
              <w:t>VA</w:t>
            </w:r>
          </w:p>
        </w:tc>
        <w:tc>
          <w:tcPr>
            <w:tcW w:type="dxa" w:w="785"/>
          </w:tcPr>
          <w:p>
            <w:r>
              <w:t>VA</w:t>
            </w:r>
          </w:p>
        </w:tc>
        <w:tc>
          <w:tcPr>
            <w:tcW w:type="dxa" w:w="785"/>
          </w:tcPr>
          <w:p>
            <w:r>
              <w:t>22572</w:t>
            </w:r>
          </w:p>
        </w:tc>
        <w:tc>
          <w:tcPr>
            <w:tcW w:type="dxa" w:w="785"/>
          </w:tcPr>
          <w:p>
            <w:r>
              <w:t>FLATBED_48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</w:tr>
    </w:tbl>
    <w:p>
      <w:pPr>
        <w:pStyle w:val="Heading1"/>
      </w:pPr>
      <w:r>
        <w:t>8. Output Example</w:t>
      </w:r>
    </w:p>
    <w:p>
      <w:r>
        <w:t>Sample output file provided: docs/examples/historical_load_utilization_sample_output.csv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</w:tblGrid>
      <w:tr>
        <w:tc>
          <w:tcPr>
            <w:tcW w:type="dxa" w:w="480"/>
          </w:tcPr>
          <w:p>
            <w:r>
              <w:t>load_number</w:t>
            </w:r>
          </w:p>
        </w:tc>
        <w:tc>
          <w:tcPr>
            <w:tcW w:type="dxa" w:w="480"/>
          </w:tcPr>
          <w:p>
            <w:r>
              <w:t>origin_plant_assumed</w:t>
            </w:r>
          </w:p>
        </w:tc>
        <w:tc>
          <w:tcPr>
            <w:tcW w:type="dxa" w:w="480"/>
          </w:tcPr>
          <w:p>
            <w:r>
              <w:t>trailer_type_used</w:t>
            </w:r>
          </w:p>
        </w:tc>
        <w:tc>
          <w:tcPr>
            <w:tcW w:type="dxa" w:w="480"/>
          </w:tcPr>
          <w:p>
            <w:r>
              <w:t>capacity_feet_used</w:t>
            </w:r>
          </w:p>
        </w:tc>
        <w:tc>
          <w:tcPr>
            <w:tcW w:type="dxa" w:w="480"/>
          </w:tcPr>
          <w:p>
            <w:r>
              <w:t>orders_on_load</w:t>
            </w:r>
          </w:p>
        </w:tc>
        <w:tc>
          <w:tcPr>
            <w:tcW w:type="dxa" w:w="480"/>
          </w:tcPr>
          <w:p>
            <w:r>
              <w:t>rows_in_report_load</w:t>
            </w:r>
          </w:p>
        </w:tc>
        <w:tc>
          <w:tcPr>
            <w:tcW w:type="dxa" w:w="480"/>
          </w:tcPr>
          <w:p>
            <w:r>
              <w:t>rows_used_in_calc</w:t>
            </w:r>
          </w:p>
        </w:tc>
        <w:tc>
          <w:tcPr>
            <w:tcW w:type="dxa" w:w="480"/>
          </w:tcPr>
          <w:p>
            <w:r>
              <w:t>units_on_load</w:t>
            </w:r>
          </w:p>
        </w:tc>
        <w:tc>
          <w:tcPr>
            <w:tcW w:type="dxa" w:w="480"/>
          </w:tcPr>
          <w:p>
            <w:r>
              <w:t>utilization_pct</w:t>
            </w:r>
          </w:p>
        </w:tc>
        <w:tc>
          <w:tcPr>
            <w:tcW w:type="dxa" w:w="480"/>
          </w:tcPr>
          <w:p>
            <w:r>
              <w:t>utilization_grade</w:t>
            </w:r>
          </w:p>
        </w:tc>
        <w:tc>
          <w:tcPr>
            <w:tcW w:type="dxa" w:w="480"/>
          </w:tcPr>
          <w:p>
            <w:r>
              <w:t>utilization_credit_ft</w:t>
            </w:r>
          </w:p>
        </w:tc>
        <w:tc>
          <w:tcPr>
            <w:tcW w:type="dxa" w:w="480"/>
          </w:tcPr>
          <w:p>
            <w:r>
              <w:t>total_linear_feet</w:t>
            </w:r>
          </w:p>
        </w:tc>
        <w:tc>
          <w:tcPr>
            <w:tcW w:type="dxa" w:w="480"/>
          </w:tcPr>
          <w:p>
            <w:r>
              <w:t>lower_deck_used_length_ft</w:t>
            </w:r>
          </w:p>
        </w:tc>
        <w:tc>
          <w:tcPr>
            <w:tcW w:type="dxa" w:w="480"/>
          </w:tcPr>
          <w:p>
            <w:r>
              <w:t>upper_deck_effective_length_ft</w:t>
            </w:r>
          </w:p>
        </w:tc>
        <w:tc>
          <w:tcPr>
            <w:tcW w:type="dxa" w:w="480"/>
          </w:tcPr>
          <w:p>
            <w:r>
              <w:t>exceeds_capacity</w:t>
            </w:r>
          </w:p>
        </w:tc>
        <w:tc>
          <w:tcPr>
            <w:tcW w:type="dxa" w:w="480"/>
          </w:tcPr>
          <w:p>
            <w:r>
              <w:t>warning_count</w:t>
            </w:r>
          </w:p>
        </w:tc>
        <w:tc>
          <w:tcPr>
            <w:tcW w:type="dxa" w:w="480"/>
          </w:tcPr>
          <w:p>
            <w:r>
              <w:t>missing_sku_rows</w:t>
            </w:r>
          </w:p>
        </w:tc>
        <w:tc>
          <w:tcPr>
            <w:tcW w:type="dxa" w:w="480"/>
          </w:tcPr>
          <w:p>
            <w:r>
              <w:t>missing_skus</w:t>
            </w:r>
          </w:p>
        </w:tc>
      </w:tr>
      <w:tr>
        <w:tc>
          <w:tcPr>
            <w:tcW w:type="dxa" w:w="480"/>
          </w:tcPr>
          <w:p>
            <w:r>
              <w:t>GA26-2001</w:t>
            </w:r>
          </w:p>
        </w:tc>
        <w:tc>
          <w:tcPr>
            <w:tcW w:type="dxa" w:w="480"/>
          </w:tcPr>
          <w:p>
            <w:r>
              <w:t>GA</w:t>
            </w:r>
          </w:p>
        </w:tc>
        <w:tc>
          <w:tcPr>
            <w:tcW w:type="dxa" w:w="480"/>
          </w:tcPr>
          <w:p>
            <w:r>
              <w:t>STEP_DECK</w:t>
            </w:r>
          </w:p>
        </w:tc>
        <w:tc>
          <w:tcPr>
            <w:tcW w:type="dxa" w:w="480"/>
          </w:tcPr>
          <w:p>
            <w:r>
              <w:t>53.0</w:t>
            </w:r>
          </w:p>
        </w:tc>
        <w:tc>
          <w:tcPr>
            <w:tcW w:type="dxa" w:w="480"/>
          </w:tcPr>
          <w:p>
            <w:r>
              <w:t>2</w:t>
            </w:r>
          </w:p>
        </w:tc>
        <w:tc>
          <w:tcPr>
            <w:tcW w:type="dxa" w:w="480"/>
          </w:tcPr>
          <w:p>
            <w:r>
              <w:t>2</w:t>
            </w:r>
          </w:p>
        </w:tc>
        <w:tc>
          <w:tcPr>
            <w:tcW w:type="dxa" w:w="480"/>
          </w:tcPr>
          <w:p>
            <w:r>
              <w:t>2</w:t>
            </w:r>
          </w:p>
        </w:tc>
        <w:tc>
          <w:tcPr>
            <w:tcW w:type="dxa" w:w="480"/>
          </w:tcPr>
          <w:p>
            <w:r>
              <w:t>6</w:t>
            </w:r>
          </w:p>
        </w:tc>
        <w:tc>
          <w:tcPr>
            <w:tcW w:type="dxa" w:w="480"/>
          </w:tcPr>
          <w:p>
            <w:r>
              <w:t>44.0</w:t>
            </w:r>
          </w:p>
        </w:tc>
        <w:tc>
          <w:tcPr>
            <w:tcW w:type="dxa" w:w="480"/>
          </w:tcPr>
          <w:p>
            <w:r>
              <w:t>F</w:t>
            </w:r>
          </w:p>
        </w:tc>
        <w:tc>
          <w:tcPr>
            <w:tcW w:type="dxa" w:w="480"/>
          </w:tcPr>
          <w:p>
            <w:r>
              <w:t>23.3</w:t>
            </w:r>
          </w:p>
        </w:tc>
        <w:tc>
          <w:tcPr>
            <w:tcW w:type="dxa" w:w="480"/>
          </w:tcPr>
          <w:p>
            <w:r>
              <w:t>28.0</w:t>
            </w:r>
          </w:p>
        </w:tc>
        <w:tc>
          <w:tcPr>
            <w:tcW w:type="dxa" w:w="480"/>
          </w:tcPr>
          <w:p>
            <w:r>
              <w:t>14.0</w:t>
            </w:r>
          </w:p>
        </w:tc>
        <w:tc>
          <w:tcPr>
            <w:tcW w:type="dxa" w:w="480"/>
          </w:tcPr>
          <w:p>
            <w:r>
              <w:t>14.0</w:t>
            </w:r>
          </w:p>
        </w:tc>
        <w:tc>
          <w:tcPr>
            <w:tcW w:type="dxa" w:w="480"/>
          </w:tcPr>
          <w:p>
            <w:r>
              <w:t>False</w:t>
            </w:r>
          </w:p>
        </w:tc>
        <w:tc>
          <w:tcPr>
            <w:tcW w:type="dxa" w:w="480"/>
          </w:tcPr>
          <w:p>
            <w:r>
              <w:t>1</w:t>
            </w:r>
          </w:p>
        </w:tc>
        <w:tc>
          <w:tcPr>
            <w:tcW w:type="dxa" w:w="480"/>
          </w:tcPr>
          <w:p>
            <w:r>
              <w:t>0</w:t>
            </w:r>
          </w:p>
        </w:tc>
        <w:tc>
          <w:tcPr>
            <w:tcW w:type="dxa" w:w="480"/>
          </w:tcPr>
          <w:p>
            <w:r/>
          </w:p>
        </w:tc>
      </w:tr>
      <w:tr>
        <w:tc>
          <w:tcPr>
            <w:tcW w:type="dxa" w:w="480"/>
          </w:tcPr>
          <w:p>
            <w:r>
              <w:t>VA26-1001</w:t>
            </w:r>
          </w:p>
        </w:tc>
        <w:tc>
          <w:tcPr>
            <w:tcW w:type="dxa" w:w="480"/>
          </w:tcPr>
          <w:p>
            <w:r>
              <w:t>VA</w:t>
            </w:r>
          </w:p>
        </w:tc>
        <w:tc>
          <w:tcPr>
            <w:tcW w:type="dxa" w:w="480"/>
          </w:tcPr>
          <w:p>
            <w:r>
              <w:t>FLATBED_48</w:t>
            </w:r>
          </w:p>
        </w:tc>
        <w:tc>
          <w:tcPr>
            <w:tcW w:type="dxa" w:w="480"/>
          </w:tcPr>
          <w:p>
            <w:r>
              <w:t>48.0</w:t>
            </w:r>
          </w:p>
        </w:tc>
        <w:tc>
          <w:tcPr>
            <w:tcW w:type="dxa" w:w="480"/>
          </w:tcPr>
          <w:p>
            <w:r>
              <w:t>2</w:t>
            </w:r>
          </w:p>
        </w:tc>
        <w:tc>
          <w:tcPr>
            <w:tcW w:type="dxa" w:w="480"/>
          </w:tcPr>
          <w:p>
            <w:r>
              <w:t>2</w:t>
            </w:r>
          </w:p>
        </w:tc>
        <w:tc>
          <w:tcPr>
            <w:tcW w:type="dxa" w:w="480"/>
          </w:tcPr>
          <w:p>
            <w:r>
              <w:t>2</w:t>
            </w:r>
          </w:p>
        </w:tc>
        <w:tc>
          <w:tcPr>
            <w:tcW w:type="dxa" w:w="480"/>
          </w:tcPr>
          <w:p>
            <w:r>
              <w:t>9</w:t>
            </w:r>
          </w:p>
        </w:tc>
        <w:tc>
          <w:tcPr>
            <w:tcW w:type="dxa" w:w="480"/>
          </w:tcPr>
          <w:p>
            <w:r>
              <w:t>70.0</w:t>
            </w:r>
          </w:p>
        </w:tc>
        <w:tc>
          <w:tcPr>
            <w:tcW w:type="dxa" w:w="480"/>
          </w:tcPr>
          <w:p>
            <w:r>
              <w:t>B</w:t>
            </w:r>
          </w:p>
        </w:tc>
        <w:tc>
          <w:tcPr>
            <w:tcW w:type="dxa" w:w="480"/>
          </w:tcPr>
          <w:p>
            <w:r>
              <w:t>33.6</w:t>
            </w:r>
          </w:p>
        </w:tc>
        <w:tc>
          <w:tcPr>
            <w:tcW w:type="dxa" w:w="480"/>
          </w:tcPr>
          <w:p>
            <w:r>
              <w:t>35.0</w:t>
            </w:r>
          </w:p>
        </w:tc>
        <w:tc>
          <w:tcPr>
            <w:tcW w:type="dxa" w:w="480"/>
          </w:tcPr>
          <w:p>
            <w:r>
              <w:t>35.0</w:t>
            </w:r>
          </w:p>
        </w:tc>
        <w:tc>
          <w:tcPr>
            <w:tcW w:type="dxa" w:w="480"/>
          </w:tcPr>
          <w:p>
            <w:r>
              <w:t>0.0</w:t>
            </w:r>
          </w:p>
        </w:tc>
        <w:tc>
          <w:tcPr>
            <w:tcW w:type="dxa" w:w="480"/>
          </w:tcPr>
          <w:p>
            <w:r>
              <w:t>False</w:t>
            </w:r>
          </w:p>
        </w:tc>
        <w:tc>
          <w:tcPr>
            <w:tcW w:type="dxa" w:w="480"/>
          </w:tcPr>
          <w:p>
            <w:r>
              <w:t>0</w:t>
            </w:r>
          </w:p>
        </w:tc>
        <w:tc>
          <w:tcPr>
            <w:tcW w:type="dxa" w:w="480"/>
          </w:tcPr>
          <w:p>
            <w:r>
              <w:t>0</w:t>
            </w:r>
          </w:p>
        </w:tc>
        <w:tc>
          <w:tcPr>
            <w:tcW w:type="dxa" w:w="480"/>
          </w:tcPr>
          <w:p>
            <w:r/>
          </w:p>
        </w:tc>
      </w:tr>
    </w:tbl>
    <w:p>
      <w:pPr>
        <w:pStyle w:val="Heading1"/>
      </w:pPr>
      <w:r>
        <w:t>9. Revisions from Framework v1 (12.23.25)</w:t>
      </w:r>
    </w:p>
    <w:p>
      <w:pPr>
        <w:pStyle w:val="ListBullet"/>
      </w:pPr>
      <w:r>
        <w:t>Expanded trailer support now includes STEP_DECK_48, FLATBED_48, WEDGE, and HOTSHOT in addition to 53' profiles.</w:t>
      </w:r>
    </w:p>
    <w:p>
      <w:pPr>
        <w:pStyle w:val="ListBullet"/>
      </w:pPr>
      <w:r>
        <w:t>Capacity handling now applies configurable overhang and upper-deck exception allowances.</w:t>
      </w:r>
    </w:p>
    <w:p>
      <w:pPr>
        <w:pStyle w:val="ListBullet"/>
      </w:pPr>
      <w:r>
        <w:t>Upper-deck two-across logic and effective-length treatment are included in utilization credit.</w:t>
      </w:r>
    </w:p>
    <w:p>
      <w:pPr>
        <w:pStyle w:val="ListBullet"/>
      </w:pPr>
      <w:r>
        <w:t>Controlled singleton overflow logic can provide limited additional vertical credit in eligible mixed stacks.</w:t>
      </w:r>
    </w:p>
    <w:p>
      <w:pPr>
        <w:pStyle w:val="ListBullet"/>
      </w:pPr>
      <w:r>
        <w:t>Grade thresholds are configurable in app settings; defaults still align to A/B/C/D/F bands used in v1.</w:t>
      </w:r>
    </w:p>
    <w:p>
      <w:pPr>
        <w:pStyle w:val="Heading1"/>
      </w:pPr>
      <w:r>
        <w:t>10. Framework Visuals (from v1 Source)</w:t>
      </w:r>
    </w:p>
    <w:p>
      <w:r>
        <w:t>The following visuals are retained from the source framework for continuity in Finance review discussions.</w:t>
      </w:r>
    </w:p>
    <w:p>
      <w:r>
        <w:drawing>
          <wp:inline xmlns:a="http://schemas.openxmlformats.org/drawingml/2006/main" xmlns:pic="http://schemas.openxmlformats.org/drawingml/2006/picture">
            <wp:extent cx="5669280" cy="425310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531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1: Source framework visual asset (image1.jpeg)</w:t>
      </w:r>
    </w:p>
    <w:p>
      <w:r>
        <w:drawing>
          <wp:inline xmlns:a="http://schemas.openxmlformats.org/drawingml/2006/main" xmlns:pic="http://schemas.openxmlformats.org/drawingml/2006/picture">
            <wp:extent cx="5669280" cy="424237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.jpe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423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2: Source framework visual asset (image2.jpeg)</w:t>
      </w:r>
    </w:p>
    <w:p>
      <w:r>
        <w:drawing>
          <wp:inline xmlns:a="http://schemas.openxmlformats.org/drawingml/2006/main" xmlns:pic="http://schemas.openxmlformats.org/drawingml/2006/picture">
            <wp:extent cx="5669280" cy="147615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.jpe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476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3: Source framework visual asset (image3.jpeg)</w:t>
      </w:r>
    </w:p>
    <w:p>
      <w:r>
        <w:drawing>
          <wp:inline xmlns:a="http://schemas.openxmlformats.org/drawingml/2006/main" xmlns:pic="http://schemas.openxmlformats.org/drawingml/2006/picture">
            <wp:extent cx="5669280" cy="226771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2677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4: Source framework visual asset (image4.png)</w:t>
      </w:r>
    </w:p>
    <w:p>
      <w:r>
        <w:drawing>
          <wp:inline xmlns:a="http://schemas.openxmlformats.org/drawingml/2006/main" xmlns:pic="http://schemas.openxmlformats.org/drawingml/2006/picture">
            <wp:extent cx="5669280" cy="424648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jpe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464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5: Source framework visual asset (image5.jpeg)</w:t>
      </w:r>
    </w:p>
    <w:p>
      <w:r>
        <w:drawing>
          <wp:inline xmlns:a="http://schemas.openxmlformats.org/drawingml/2006/main" xmlns:pic="http://schemas.openxmlformats.org/drawingml/2006/picture">
            <wp:extent cx="5669280" cy="566928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6.jpe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669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6: Source framework visual asset (image6.jpeg)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Relationship Id="rId10" Type="http://schemas.openxmlformats.org/officeDocument/2006/relationships/image" Target="media/image2.jpeg"/><Relationship Id="rId11" Type="http://schemas.openxmlformats.org/officeDocument/2006/relationships/image" Target="media/image3.jpeg"/><Relationship Id="rId12" Type="http://schemas.openxmlformats.org/officeDocument/2006/relationships/image" Target="media/image4.png"/><Relationship Id="rId13" Type="http://schemas.openxmlformats.org/officeDocument/2006/relationships/image" Target="media/image5.jpeg"/><Relationship Id="rId14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