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drawing>
          <wp:inline xmlns:a="http://schemas.openxmlformats.org/drawingml/2006/main" xmlns:pic="http://schemas.openxmlformats.org/drawingml/2006/picture">
            <wp:extent cx="2606040" cy="765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-logo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765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0" w:line="320" w:lineRule="exact"/>
      </w:pPr>
      <w:r>
        <w:rPr>
          <w:rFonts w:ascii="Arial" w:hAnsi="Arial" w:cs="Arial" w:eastAsia="Arial"/>
          <w:b/>
          <w:i w:val="0"/>
          <w:color w:val="335D4F"/>
          <w:sz w:val="27"/>
        </w:rPr>
        <w:t>REIN Ghana Hub × Academic City: what ACity brings and what it costs</w:t>
      </w:r>
    </w:p>
    <w:p>
      <w:pPr>
        <w:spacing w:before="0" w:after="40" w:line="240" w:lineRule="exact"/>
      </w:pPr>
      <w:r>
        <w:rPr>
          <w:rFonts w:ascii="Arial" w:hAnsi="Arial" w:cs="Arial" w:eastAsia="Arial"/>
          <w:b w:val="0"/>
          <w:i w:val="0"/>
          <w:color w:val="FF6633"/>
          <w:sz w:val="17"/>
        </w:rPr>
        <w:t>Internal prep for Gideon Blaauw (CleantechHUB) with Laurence Kalinsky (PVBLIC), before the meeting with Pav, Academic City University (ACity), Accra. 20 October 2026.</w:t>
      </w:r>
    </w:p>
    <w:p>
      <w:pPr>
        <w:keepNext/>
        <w:spacing w:before="80" w:after="20" w:line="280" w:lineRule="exact"/>
      </w:pPr>
      <w:r>
        <w:rPr>
          <w:rFonts w:ascii="Arial" w:hAnsi="Arial" w:cs="Arial" w:eastAsia="Arial"/>
          <w:b/>
          <w:i w:val="0"/>
          <w:color w:val="335D4F"/>
          <w:sz w:val="24"/>
        </w:rPr>
        <w:t>1. What ACity brings, in kind</w:t>
      </w:r>
    </w:p>
    <w:p>
      <w:pPr>
        <w:spacing w:before="0" w:after="4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TEC (Technology &amp; Entrepreneurship Center), led by Makafui Awuku, runs the US State Department CCE Climate Tech Accelerator.</w:t>
      </w:r>
    </w:p>
    <w:p>
      <w:pPr>
        <w:spacing w:before="0" w:after="4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In Q3 2025, TEC trained 140 youth in 73 workshops. Participation was 48% female.</w:t>
      </w:r>
    </w:p>
    <w:p>
      <w:pPr>
        <w:spacing w:before="0" w:after="4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Africa's first Sustainability Laboratory was inaugurated on 9 February 2023. It is a CCE initiative, and home of the Telesto Climate Tech Accelerator (17 entrepreneurs in the 2023 cohort).</w:t>
      </w:r>
    </w:p>
    <w:p>
      <w:pPr>
        <w:spacing w:before="0" w:after="4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About 500 students, and 25+ nationalities. AI and Robotics degrees fit PVBLIC ALI (AI Leapfrog Initiative) Logic Centers. International industry mentors 200+ students and educators a year. Northeastern University is a research link. Alumni are at Apple UK and Zipline.</w:t>
      </w:r>
    </w:p>
    <w:p>
      <w:pPr>
        <w:spacing w:before="0" w:after="6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The US State Department CCE stays the anchor. REIN adds a non-US capital channel: FOSD (Family Offices for Sustainable Development) family offices and European corporates. That channel points toward the ACU Foundation's US$10 million goal over three years.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Borders>
          <w:top w:val="single" w:sz="4" w:space="0" w:color="C5D5CE"/>
          <w:left w:val="single" w:sz="4" w:space="0" w:color="C5D5CE"/>
          <w:bottom w:val="single" w:sz="4" w:space="0" w:color="C5D5CE"/>
          <w:right w:val="single" w:sz="4" w:space="0" w:color="C5D5CE"/>
          <w:insideH w:val="single" w:sz="4" w:space="0" w:color="C5D5CE"/>
          <w:insideV w:val="single" w:sz="4" w:space="0" w:color="C5D5CE"/>
        </w:tblBorders>
      </w:tblPr>
      <w:tblGrid>
        <w:gridCol w:w="1944"/>
        <w:gridCol w:w="4104"/>
        <w:gridCol w:w="4608"/>
      </w:tblGrid>
      <w:tr>
        <w:trPr>
          <w:cantSplit/>
        </w:trPr>
        <w:tc>
          <w:tcPr>
            <w:tcW w:type="dxa" w:w="1944"/>
            <w:shd w:val="clear" w:color="auto" w:fill="335D4F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REIN stage</w:t>
            </w:r>
          </w:p>
        </w:tc>
        <w:tc>
          <w:tcPr>
            <w:tcW w:type="dxa" w:w="4104"/>
            <w:shd w:val="clear" w:color="auto" w:fill="335D4F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Scale</w:t>
            </w:r>
          </w:p>
        </w:tc>
        <w:tc>
          <w:tcPr>
            <w:tcW w:type="dxa" w:w="4608"/>
            <w:shd w:val="clear" w:color="auto" w:fill="335D4F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ACity asset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Ideation</w:t>
            </w:r>
          </w:p>
        </w:tc>
        <w:tc>
          <w:tcPr>
            <w:tcW w:type="dxa" w:w="410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50 participants, 4 weeks</w:t>
            </w:r>
          </w:p>
        </w:tc>
        <w:tc>
          <w:tcPr>
            <w:tcW w:type="dxa" w:w="460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TEC workshops and students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Incubation</w:t>
            </w:r>
          </w:p>
        </w:tc>
        <w:tc>
          <w:tcPr>
            <w:tcW w:type="dxa" w:w="410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25 teams, 10 weeks</w:t>
            </w:r>
          </w:p>
        </w:tc>
        <w:tc>
          <w:tcPr>
            <w:tcW w:type="dxa" w:w="460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Sustainability Lab and Telesto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Acceleration</w:t>
            </w:r>
          </w:p>
        </w:tc>
        <w:tc>
          <w:tcPr>
            <w:tcW w:type="dxa" w:w="410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10 teams, 12 weeks</w:t>
            </w:r>
          </w:p>
        </w:tc>
        <w:tc>
          <w:tcPr>
            <w:tcW w:type="dxa" w:w="460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CCE Climate Tech Accelerator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Growth</w:t>
            </w:r>
          </w:p>
        </w:tc>
        <w:tc>
          <w:tcPr>
            <w:tcW w:type="dxa" w:w="410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4 teams, 12 weeks, investor connections</w:t>
            </w:r>
          </w:p>
        </w:tc>
        <w:tc>
          <w:tcPr>
            <w:tcW w:type="dxa" w:w="460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FOSD and PVBLIC / UNGA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Hub operations</w:t>
            </w:r>
          </w:p>
        </w:tc>
        <w:tc>
          <w:tcPr>
            <w:tcW w:type="dxa" w:w="4104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</w:r>
          </w:p>
        </w:tc>
        <w:tc>
          <w:tcPr>
            <w:tcW w:type="dxa" w:w="460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 w:val="0"/>
                <w:i w:val="0"/>
                <w:color w:val="222A27"/>
                <w:sz w:val="16"/>
              </w:rPr>
              <w:t>Campus, TEC staff</w:t>
            </w:r>
          </w:p>
        </w:tc>
      </w:tr>
    </w:tbl>
    <w:p>
      <w:pPr>
        <w:keepNext/>
        <w:spacing w:before="140" w:after="20" w:line="280" w:lineRule="exact"/>
      </w:pPr>
      <w:r>
        <w:rPr>
          <w:rFonts w:ascii="Arial" w:hAnsi="Arial" w:cs="Arial" w:eastAsia="Arial"/>
          <w:b/>
          <w:i w:val="0"/>
          <w:color w:val="335D4F"/>
          <w:sz w:val="24"/>
        </w:rPr>
        <w:t>2. Honest investment</w:t>
      </w:r>
    </w:p>
    <w:p>
      <w:pPr>
        <w:spacing w:before="0" w:after="4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These assets reduce cost and risk. They do not replace cash.</w:t>
      </w:r>
    </w:p>
    <w:p>
      <w:pPr>
        <w:spacing w:before="0" w:after="6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External cash follows a three-year sliding scale. Year 1 is the full funnel, plus setup and integration.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Borders>
          <w:top w:val="single" w:sz="4" w:space="0" w:color="C5D5CE"/>
          <w:left w:val="single" w:sz="4" w:space="0" w:color="C5D5CE"/>
          <w:bottom w:val="single" w:sz="4" w:space="0" w:color="C5D5CE"/>
          <w:right w:val="single" w:sz="4" w:space="0" w:color="C5D5CE"/>
          <w:insideH w:val="single" w:sz="4" w:space="0" w:color="C5D5CE"/>
          <w:insideV w:val="single" w:sz="4" w:space="0" w:color="C5D5CE"/>
        </w:tblBorders>
      </w:tblPr>
      <w:tblGrid>
        <w:gridCol w:w="1655"/>
        <w:gridCol w:w="2088"/>
        <w:gridCol w:w="6912"/>
      </w:tblGrid>
      <w:tr>
        <w:trPr>
          <w:cantSplit/>
        </w:trPr>
        <w:tc>
          <w:tcPr>
            <w:tcW w:type="dxa" w:w="1655"/>
            <w:shd w:val="clear" w:color="auto" w:fill="335D4F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Year</w:t>
            </w:r>
          </w:p>
        </w:tc>
        <w:tc>
          <w:tcPr>
            <w:tcW w:type="dxa" w:w="2088"/>
            <w:shd w:val="clear" w:color="auto" w:fill="335D4F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External cash</w:t>
            </w:r>
          </w:p>
        </w:tc>
        <w:tc>
          <w:tcPr>
            <w:tcW w:type="dxa" w:w="6912"/>
            <w:shd w:val="clear" w:color="auto" w:fill="335D4F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Level, Year 1 = full bar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Year 1</w:t>
            </w:r>
          </w:p>
        </w:tc>
        <w:tc>
          <w:tcPr>
            <w:tcW w:type="dxa" w:w="208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US$103,000</w:t>
            </w:r>
          </w:p>
        </w:tc>
        <w:tc>
          <w:tcPr>
            <w:tcW w:type="dxa" w:w="6912"/>
            <w:shd w:val="clear" w:color="auto" w:fill="E3ECE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before="0" w:after="0" w:line="40" w:lineRule="exact"/>
            </w:pPr>
            <w:r/>
          </w:p>
          <w:tbl>
            <w:tblPr>
              <w:tblW w:type="dxa" w:w="4536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536"/>
            </w:tblGrid>
            <w:tr>
              <w:trPr>
                <w:cantSplit/>
              </w:trPr>
              <w:tc>
                <w:tcPr>
                  <w:tcW w:type="dxa" w:w="4536"/>
                  <w:shd w:val="clear" w:color="auto" w:fill="335D4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60" w:lineRule="exac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color w:val="FFFFFF"/>
                      <w:sz w:val="8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40" w:lineRule="exact"/>
            </w:pP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Year 2</w:t>
            </w:r>
          </w:p>
        </w:tc>
        <w:tc>
          <w:tcPr>
            <w:tcW w:type="dxa" w:w="208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US$75,000</w:t>
            </w:r>
          </w:p>
        </w:tc>
        <w:tc>
          <w:tcPr>
            <w:tcW w:type="dxa" w:w="6912"/>
            <w:shd w:val="clear" w:color="auto" w:fill="E3ECE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before="0" w:after="0" w:line="40" w:lineRule="exact"/>
            </w:pPr>
            <w:r/>
          </w:p>
          <w:tbl>
            <w:tblPr>
              <w:tblW w:type="dxa" w:w="3302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302"/>
            </w:tblGrid>
            <w:tr>
              <w:trPr>
                <w:cantSplit/>
              </w:trPr>
              <w:tc>
                <w:tcPr>
                  <w:tcW w:type="dxa" w:w="3302"/>
                  <w:shd w:val="clear" w:color="auto" w:fill="335D4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60" w:lineRule="exac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color w:val="FFFFFF"/>
                      <w:sz w:val="8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40" w:lineRule="exact"/>
            </w:pP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Year 3</w:t>
            </w:r>
          </w:p>
        </w:tc>
        <w:tc>
          <w:tcPr>
            <w:tcW w:type="dxa" w:w="2088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222A27"/>
                <w:sz w:val="16"/>
              </w:rPr>
              <w:t>US$50,000</w:t>
            </w:r>
          </w:p>
        </w:tc>
        <w:tc>
          <w:tcPr>
            <w:tcW w:type="dxa" w:w="6912"/>
            <w:shd w:val="clear" w:color="auto" w:fill="E3ECE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before="0" w:after="0" w:line="40" w:lineRule="exact"/>
            </w:pPr>
            <w:r/>
          </w:p>
          <w:tbl>
            <w:tblPr>
              <w:tblW w:type="dxa" w:w="220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201"/>
            </w:tblGrid>
            <w:tr>
              <w:trPr>
                <w:cantSplit/>
              </w:trPr>
              <w:tc>
                <w:tcPr>
                  <w:tcW w:type="dxa" w:w="2201"/>
                  <w:shd w:val="clear" w:color="auto" w:fill="335D4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60" w:lineRule="exac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color w:val="FFFFFF"/>
                      <w:sz w:val="8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40" w:lineRule="exact"/>
            </w:pPr>
          </w:p>
        </w:tc>
      </w:tr>
      <w:tr>
        <w:trPr>
          <w:cantSplit/>
        </w:trPr>
        <w:tc>
          <w:tcPr>
            <w:tcW w:type="dxa" w:w="1655"/>
            <w:shd w:val="clear" w:color="auto" w:fill="FF6633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3-year total</w:t>
            </w:r>
          </w:p>
        </w:tc>
        <w:tc>
          <w:tcPr>
            <w:tcW w:type="dxa" w:w="2088"/>
            <w:shd w:val="clear" w:color="auto" w:fill="FF6633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US$228,000</w:t>
            </w:r>
          </w:p>
        </w:tc>
        <w:tc>
          <w:tcPr>
            <w:tcW w:type="dxa" w:w="6912"/>
            <w:shd w:val="clear" w:color="auto" w:fill="FF6633"/>
            <w:vAlign w:val="center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00" w:lineRule="exac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Sum of the three years</w:t>
            </w:r>
          </w:p>
        </w:tc>
      </w:tr>
    </w:tbl>
    <w:p>
      <w:pPr>
        <w:spacing w:before="60" w:after="4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Year 1 split: programs US$75,000, comms and hub maintenance US$8,000, and operations and integration US$20,000.</w:t>
      </w:r>
    </w:p>
    <w:p>
      <w:pPr>
        <w:spacing w:before="0" w:after="40" w:line="260" w:lineRule="exact"/>
      </w:pPr>
      <w:r>
        <w:rPr>
          <w:rFonts w:ascii="Georgia" w:hAnsi="Georgia" w:cs="Georgia" w:eastAsia="Georgia"/>
          <w:b w:val="0"/>
          <w:i w:val="0"/>
          <w:color w:val="222A27"/>
          <w:sz w:val="20"/>
        </w:rPr>
        <w:t>External need falls about 50% by Year 3, as ACity takes on delivery and local sponsors come in.</w:t>
      </w:r>
    </w:p>
    <w:p>
      <w:pPr>
        <w:keepNext/>
        <w:spacing w:before="120" w:after="20" w:line="280" w:lineRule="exact"/>
      </w:pPr>
      <w:r>
        <w:rPr>
          <w:rFonts w:ascii="Arial" w:hAnsi="Arial" w:cs="Arial" w:eastAsia="Arial"/>
          <w:b/>
          <w:i w:val="0"/>
          <w:color w:val="335D4F"/>
          <w:sz w:val="24"/>
        </w:rPr>
        <w:t>3. To agree with Laurence before Pav</w:t>
      </w:r>
    </w:p>
    <w:p>
      <w:pPr>
        <w:spacing w:before="20" w:after="0" w:line="260" w:lineRule="exact"/>
      </w:pPr>
      <w:r>
        <w:rPr>
          <w:rFonts w:ascii="Arial" w:hAnsi="Arial" w:cs="Arial" w:eastAsia="Arial"/>
          <w:b/>
          <w:i w:val="0"/>
          <w:color w:val="335D4F"/>
          <w:sz w:val="20"/>
        </w:rPr>
        <w:t xml:space="preserve">a. </w:t>
      </w:r>
      <w:r>
        <w:rPr>
          <w:rFonts w:ascii="Georgia" w:hAnsi="Georgia" w:cs="Georgia" w:eastAsia="Georgia"/>
          <w:b w:val="0"/>
          <w:i w:val="0"/>
          <w:color w:val="222A27"/>
          <w:sz w:val="20"/>
        </w:rPr>
        <w:t>Year 1 cost split across PVBLIC, ACity, and FOSD. Unconfirmed.</w:t>
      </w:r>
    </w:p>
    <w:p>
      <w:pPr>
        <w:spacing w:before="20" w:after="0" w:line="260" w:lineRule="exact"/>
      </w:pPr>
      <w:r>
        <w:rPr>
          <w:rFonts w:ascii="Arial" w:hAnsi="Arial" w:cs="Arial" w:eastAsia="Arial"/>
          <w:b/>
          <w:i w:val="0"/>
          <w:color w:val="335D4F"/>
          <w:sz w:val="20"/>
        </w:rPr>
        <w:t xml:space="preserve">b. </w:t>
      </w:r>
      <w:r>
        <w:rPr>
          <w:rFonts w:ascii="Georgia" w:hAnsi="Georgia" w:cs="Georgia" w:eastAsia="Georgia"/>
          <w:b w:val="0"/>
          <w:i w:val="0"/>
          <w:color w:val="222A27"/>
          <w:sz w:val="20"/>
        </w:rPr>
        <w:t xml:space="preserve">Can Pav put a value on the in-kind contribution? </w:t>
      </w:r>
      <w:r>
        <w:rPr>
          <w:rFonts w:ascii="Arial" w:hAnsi="Arial" w:cs="Arial" w:eastAsia="Arial"/>
          <w:b/>
          <w:i w:val="0"/>
          <w:color w:val="FF6633"/>
          <w:sz w:val="20"/>
        </w:rPr>
        <w:t>TO CONFIRM</w:t>
      </w:r>
    </w:p>
    <w:p>
      <w:pPr>
        <w:spacing w:before="20" w:after="0" w:line="260" w:lineRule="exact"/>
      </w:pPr>
      <w:r>
        <w:rPr>
          <w:rFonts w:ascii="Arial" w:hAnsi="Arial" w:cs="Arial" w:eastAsia="Arial"/>
          <w:b/>
          <w:i w:val="0"/>
          <w:color w:val="335D4F"/>
          <w:sz w:val="20"/>
        </w:rPr>
        <w:t xml:space="preserve">c. </w:t>
      </w:r>
      <w:r>
        <w:rPr>
          <w:rFonts w:ascii="Georgia" w:hAnsi="Georgia" w:cs="Georgia" w:eastAsia="Georgia"/>
          <w:b w:val="0"/>
          <w:i w:val="0"/>
          <w:color w:val="222A27"/>
          <w:sz w:val="20"/>
        </w:rPr>
        <w:t xml:space="preserve">What reduces in Years 2 and 3? The breakdown is not yet set. </w:t>
      </w:r>
      <w:r>
        <w:rPr>
          <w:rFonts w:ascii="Arial" w:hAnsi="Arial" w:cs="Arial" w:eastAsia="Arial"/>
          <w:b/>
          <w:i w:val="0"/>
          <w:color w:val="FF6633"/>
          <w:sz w:val="20"/>
        </w:rPr>
        <w:t>TO CONFIRM</w:t>
      </w:r>
    </w:p>
    <w:sectPr w:rsidR="00FC693F" w:rsidRPr="0006063C" w:rsidSect="00034616">
      <w:footerReference w:type="default" r:id="rId10"/>
      <w:pgSz w:w="12240" w:h="15840"/>
      <w:pgMar w:top="576" w:right="792" w:bottom="605" w:left="792" w:header="23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20" w:lineRule="exact"/>
      <w:pBdr>
        <w:top w:val="single" w:sz="6" w:space="1" w:color="335D4F"/>
      </w:pBdr>
    </w:pPr>
    <w:r>
      <w:rPr>
        <w:rFonts w:ascii="Arial" w:hAnsi="Arial" w:cs="Arial" w:eastAsia="Arial"/>
        <w:b w:val="0"/>
        <w:i w:val="0"/>
        <w:color w:val="335D4F"/>
        <w:sz w:val="16"/>
      </w:rPr>
      <w:t>Internal prep, not for circulation. Source: REIN × Academic City proposal, Apr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Georgia" w:hAnsi="Georgia" w:cs="Georgia" w:eastAsia="Georgia"/>
      <w:color w:val="222A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REIN Ghana Hub × Academic City: what ACity brings and what it costs</dc:title>
  <dc:subject>Internal prep, not for circulation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REIN Hubs internal</cp:category>
</cp:coreProperties>
</file>