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drawing>
          <wp:inline xmlns:a="http://schemas.openxmlformats.org/drawingml/2006/main" xmlns:pic="http://schemas.openxmlformats.org/drawingml/2006/picture">
            <wp:extent cx="2606040" cy="765451"/>
            <wp:docPr id="1" name="Picture 1"/>
            <wp:cNvGraphicFramePr>
              <a:graphicFrameLocks noChangeAspect="1"/>
            </wp:cNvGraphicFramePr>
            <a:graphic>
              <a:graphicData uri="http://schemas.openxmlformats.org/drawingml/2006/picture">
                <pic:pic>
                  <pic:nvPicPr>
                    <pic:cNvPr id="0" name="rein-logo-header.png"/>
                    <pic:cNvPicPr/>
                  </pic:nvPicPr>
                  <pic:blipFill>
                    <a:blip r:embed="rId9"/>
                    <a:stretch>
                      <a:fillRect/>
                    </a:stretch>
                  </pic:blipFill>
                  <pic:spPr>
                    <a:xfrm>
                      <a:off x="0" y="0"/>
                      <a:ext cx="2606040" cy="765451"/>
                    </a:xfrm>
                    <a:prstGeom prst="rect"/>
                  </pic:spPr>
                </pic:pic>
              </a:graphicData>
            </a:graphic>
          </wp:inline>
        </w:drawing>
      </w:r>
    </w:p>
    <w:p>
      <w:pPr>
        <w:keepNext/>
        <w:spacing w:before="20" w:after="0" w:line="320" w:lineRule="exact"/>
      </w:pPr>
      <w:r>
        <w:rPr>
          <w:rFonts w:ascii="Arial" w:hAnsi="Arial" w:cs="Arial" w:eastAsia="Arial"/>
          <w:b/>
          <w:i w:val="0"/>
          <w:color w:val="335D4F"/>
          <w:sz w:val="27"/>
        </w:rPr>
        <w:t>REIN Ghana Hub × Academic City: what ACity brings and what it costs</w:t>
      </w:r>
    </w:p>
    <w:p>
      <w:pPr>
        <w:spacing w:before="0" w:after="40" w:line="240" w:lineRule="exact"/>
      </w:pPr>
      <w:r>
        <w:rPr>
          <w:rFonts w:ascii="Arial" w:hAnsi="Arial" w:cs="Arial" w:eastAsia="Arial"/>
          <w:b w:val="0"/>
          <w:i w:val="0"/>
          <w:color w:val="FF6633"/>
          <w:sz w:val="17"/>
        </w:rPr>
        <w:t>Internal prep for Gideon Blaauw (CleantechHUB) with Laurence Kalinsky (PVBLIC), before the meeting with Pav, Academic City University (ACity), Accra. 20 October 2026.</w:t>
      </w:r>
    </w:p>
    <w:p>
      <w:pPr>
        <w:keepNext/>
        <w:spacing w:before="80" w:after="20" w:line="280" w:lineRule="exact"/>
      </w:pPr>
      <w:r>
        <w:rPr>
          <w:rFonts w:ascii="Arial" w:hAnsi="Arial" w:cs="Arial" w:eastAsia="Arial"/>
          <w:b/>
          <w:i w:val="0"/>
          <w:color w:val="335D4F"/>
          <w:sz w:val="24"/>
        </w:rPr>
        <w:t>1. What ACity brings, in kind</w:t>
      </w:r>
    </w:p>
    <w:p>
      <w:pPr>
        <w:spacing w:before="0" w:after="40" w:line="260" w:lineRule="exact"/>
      </w:pPr>
      <w:r>
        <w:rPr>
          <w:rFonts w:ascii="Georgia" w:hAnsi="Georgia" w:cs="Georgia" w:eastAsia="Georgia"/>
          <w:b w:val="0"/>
          <w:i w:val="0"/>
          <w:color w:val="222A27"/>
          <w:sz w:val="20"/>
        </w:rPr>
        <w:t>TEC (Technology &amp; Entrepreneurship Center), led by Makafui Awuku, runs the US State Department CCE Climate Tech Accelerator.</w:t>
      </w:r>
    </w:p>
    <w:p>
      <w:pPr>
        <w:spacing w:before="0" w:after="40" w:line="260" w:lineRule="exact"/>
      </w:pPr>
      <w:r>
        <w:rPr>
          <w:rFonts w:ascii="Georgia" w:hAnsi="Georgia" w:cs="Georgia" w:eastAsia="Georgia"/>
          <w:b w:val="0"/>
          <w:i w:val="0"/>
          <w:color w:val="222A27"/>
          <w:sz w:val="20"/>
        </w:rPr>
        <w:t>In Q3 2025, TEC trained 140 youth in 73 workshops. Participation was 48% female.</w:t>
      </w:r>
    </w:p>
    <w:p>
      <w:pPr>
        <w:spacing w:before="0" w:after="40" w:line="260" w:lineRule="exact"/>
      </w:pPr>
      <w:r>
        <w:rPr>
          <w:rFonts w:ascii="Georgia" w:hAnsi="Georgia" w:cs="Georgia" w:eastAsia="Georgia"/>
          <w:b w:val="0"/>
          <w:i w:val="0"/>
          <w:color w:val="222A27"/>
          <w:sz w:val="20"/>
        </w:rPr>
        <w:t>Africa's first Sustainability Laboratory was inaugurated on 9 February 2023. It is a CCE initiative, and home of the Telesto Climate Tech Accelerator (17 entrepreneurs in the 2023 cohort).</w:t>
      </w:r>
    </w:p>
    <w:p>
      <w:pPr>
        <w:spacing w:before="0" w:after="40" w:line="260" w:lineRule="exact"/>
      </w:pPr>
      <w:r>
        <w:rPr>
          <w:rFonts w:ascii="Georgia" w:hAnsi="Georgia" w:cs="Georgia" w:eastAsia="Georgia"/>
          <w:b w:val="0"/>
          <w:i w:val="0"/>
          <w:color w:val="222A27"/>
          <w:sz w:val="20"/>
        </w:rPr>
        <w:t>About 500 students, and 25+ nationalities. AI and Robotics degrees fit PVBLIC ALI (AI Leapfrog Initiative) Logic Centers. International industry mentors 200+ students and educators a year. Northeastern University is a research link. Alumni are at Apple UK and Zipline.</w:t>
      </w:r>
    </w:p>
    <w:p>
      <w:pPr>
        <w:spacing w:before="0" w:after="60" w:line="260" w:lineRule="exact"/>
      </w:pPr>
      <w:r>
        <w:rPr>
          <w:rFonts w:ascii="Georgia" w:hAnsi="Georgia" w:cs="Georgia" w:eastAsia="Georgia"/>
          <w:b w:val="0"/>
          <w:i w:val="0"/>
          <w:color w:val="222A27"/>
          <w:sz w:val="20"/>
        </w:rPr>
        <w:t>The US State Department CCE stays the anchor. REIN adds a non-US capital channel: FOSD (Family Offices for Sustainable Development) family offices and European corporates. That channel points toward the ACU Foundation's US$10 million goal over three years.</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944"/>
        <w:gridCol w:w="4104"/>
        <w:gridCol w:w="4608"/>
      </w:tblGrid>
      <w:tr>
        <w:trPr>
          <w:cantSplit/>
        </w:trPr>
        <w:tc>
          <w:tcPr>
            <w:tcW w:type="dxa" w:w="194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REIN stage</w:t>
            </w:r>
          </w:p>
        </w:tc>
        <w:tc>
          <w:tcPr>
            <w:tcW w:type="dxa" w:w="410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Scale</w:t>
            </w:r>
          </w:p>
        </w:tc>
        <w:tc>
          <w:tcPr>
            <w:tcW w:type="dxa" w:w="460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ACity asset</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Ideation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50 participants, 4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TEC workshops and students</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Incubation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25 teams, 10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Sustainability Lab and Telesto</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Acceleration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10 teams, 12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CCE Climate Tech Accelerator</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Growth</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4 teams, 12 weeks, investor connections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FOSD and PVBLIC / UNGA</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Hub operations</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Campus, TEC staff</w:t>
            </w:r>
          </w:p>
        </w:tc>
      </w:tr>
    </w:tbl>
    <w:p>
      <w:pPr>
        <w:keepNext/>
        <w:spacing w:before="140" w:after="20" w:line="280" w:lineRule="exact"/>
      </w:pPr>
      <w:r>
        <w:rPr>
          <w:rFonts w:ascii="Arial" w:hAnsi="Arial" w:cs="Arial" w:eastAsia="Arial"/>
          <w:b/>
          <w:i w:val="0"/>
          <w:color w:val="335D4F"/>
          <w:sz w:val="24"/>
        </w:rPr>
        <w:t>2. Cost Structure</w:t>
      </w:r>
    </w:p>
    <w:p>
      <w:pPr>
        <w:spacing w:before="0" w:after="40" w:line="260" w:lineRule="exact"/>
      </w:pPr>
      <w:r>
        <w:rPr>
          <w:rFonts w:ascii="Georgia" w:hAnsi="Georgia" w:cs="Georgia" w:eastAsia="Georgia"/>
          <w:b w:val="0"/>
          <w:i w:val="0"/>
          <w:color w:val="222A27"/>
          <w:sz w:val="20"/>
        </w:rPr>
        <w:t>These assets reduce cost and risk. They do not replace cash.</w:t>
      </w:r>
    </w:p>
    <w:p>
      <w:pPr>
        <w:spacing w:before="0" w:after="60" w:line="260" w:lineRule="exact"/>
      </w:pPr>
      <w:r>
        <w:rPr>
          <w:rFonts w:ascii="Georgia" w:hAnsi="Georgia" w:cs="Georgia" w:eastAsia="Georgia"/>
          <w:b w:val="0"/>
          <w:i w:val="0"/>
          <w:color w:val="222A27"/>
          <w:sz w:val="20"/>
        </w:rPr>
        <w:t>External cash follows a three-year sliding scale. Year 1 is the full funnel, plus setup and integration.</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655"/>
        <w:gridCol w:w="2088"/>
        <w:gridCol w:w="6912"/>
      </w:tblGrid>
      <w:tr>
        <w:trPr>
          <w:cantSplit/>
        </w:trPr>
        <w:tc>
          <w:tcPr>
            <w:tcW w:type="dxa" w:w="1655"/>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Year</w:t>
            </w:r>
          </w:p>
        </w:tc>
        <w:tc>
          <w:tcPr>
            <w:tcW w:type="dxa" w:w="208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External cash</w:t>
            </w:r>
          </w:p>
        </w:tc>
        <w:tc>
          <w:tcPr>
            <w:tcW w:type="dxa" w:w="6912"/>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Level, Year 1 = full bar</w:t>
            </w: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1</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US$103,000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4536"/>
              <w:tblLayout w:type="fixed"/>
              <w:tblLook w:firstColumn="1" w:firstRow="1" w:lastColumn="0" w:lastRow="0" w:noHBand="0" w:noVBand="1" w:val="04A0"/>
              <w:tblBorders>
                <w:top w:val="nil"/>
                <w:left w:val="nil"/>
                <w:bottom w:val="nil"/>
                <w:right w:val="nil"/>
                <w:insideH w:val="nil"/>
                <w:insideV w:val="nil"/>
              </w:tblBorders>
            </w:tblPr>
            <w:tblGrid>
              <w:gridCol w:w="4536"/>
            </w:tblGrid>
            <w:tr>
              <w:trPr>
                <w:cantSplit/>
              </w:trPr>
              <w:tc>
                <w:tcPr>
                  <w:tcW w:type="dxa" w:w="4536"/>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2</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US$75,000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3302"/>
              <w:tblLayout w:type="fixed"/>
              <w:tblLook w:firstColumn="1" w:firstRow="1" w:lastColumn="0" w:lastRow="0" w:noHBand="0" w:noVBand="1" w:val="04A0"/>
              <w:tblBorders>
                <w:top w:val="nil"/>
                <w:left w:val="nil"/>
                <w:bottom w:val="nil"/>
                <w:right w:val="nil"/>
                <w:insideH w:val="nil"/>
                <w:insideV w:val="nil"/>
              </w:tblBorders>
            </w:tblPr>
            <w:tblGrid>
              <w:gridCol w:w="3302"/>
            </w:tblGrid>
            <w:tr>
              <w:trPr>
                <w:cantSplit/>
              </w:trPr>
              <w:tc>
                <w:tcPr>
                  <w:tcW w:type="dxa" w:w="3302"/>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3</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US$50,000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2201"/>
              <w:tblLayout w:type="fixed"/>
              <w:tblLook w:firstColumn="1" w:firstRow="1" w:lastColumn="0" w:lastRow="0" w:noHBand="0" w:noVBand="1" w:val="04A0"/>
              <w:tblBorders>
                <w:top w:val="nil"/>
                <w:left w:val="nil"/>
                <w:bottom w:val="nil"/>
                <w:right w:val="nil"/>
                <w:insideH w:val="nil"/>
                <w:insideV w:val="nil"/>
              </w:tblBorders>
            </w:tblPr>
            <w:tblGrid>
              <w:gridCol w:w="2201"/>
            </w:tblGrid>
            <w:tr>
              <w:trPr>
                <w:cantSplit/>
              </w:trPr>
              <w:tc>
                <w:tcPr>
                  <w:tcW w:type="dxa" w:w="2201"/>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3-year total</w:t>
            </w:r>
          </w:p>
        </w:tc>
        <w:tc>
          <w:tcPr>
            <w:tcW w:type="dxa" w:w="2088"/>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US$228,000</w:t>
            </w:r>
          </w:p>
        </w:tc>
        <w:tc>
          <w:tcPr>
            <w:tcW w:type="dxa" w:w="6912"/>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Sum of the three years</w:t>
            </w:r>
          </w:p>
        </w:tc>
      </w:tr>
    </w:tbl>
    <w:p>
      <w:pPr>
        <w:spacing w:before="60" w:after="40" w:line="260" w:lineRule="exact"/>
      </w:pPr>
      <w:r>
        <w:rPr>
          <w:rFonts w:ascii="Georgia" w:hAnsi="Georgia" w:cs="Georgia" w:eastAsia="Georgia"/>
          <w:b w:val="0"/>
          <w:i w:val="0"/>
          <w:color w:val="222A27"/>
          <w:sz w:val="20"/>
        </w:rPr>
        <w:t>Year 1 split: programs US$75,000, comms and hub maintenance US$8,000, and operations and integration US$20,000.</w:t>
      </w:r>
    </w:p>
    <w:p>
      <w:pPr>
        <w:spacing w:before="0" w:after="40" w:line="260" w:lineRule="exact"/>
      </w:pPr>
      <w:r>
        <w:rPr>
          <w:rFonts w:ascii="Georgia" w:hAnsi="Georgia" w:cs="Georgia" w:eastAsia="Georgia"/>
          <w:b w:val="0"/>
          <w:i w:val="0"/>
          <w:color w:val="222A27"/>
          <w:sz w:val="20"/>
        </w:rPr>
        <w:t>External need falls about 50% by Year 3, as ACity takes on delivery and local sponsors come in.</w:t>
      </w:r>
    </w:p>
    <w:p>
      <w:r>
        <w:br w:type="page"/>
      </w:r>
    </w:p>
    <w:p>
      <w:pPr>
        <w:keepNext/>
        <w:spacing w:before="0" w:after="20" w:line="280" w:lineRule="exact"/>
      </w:pPr>
      <w:r>
        <w:rPr>
          <w:rFonts w:ascii="Arial" w:hAnsi="Arial" w:cs="Arial" w:eastAsia="Arial"/>
          <w:b/>
          <w:i w:val="0"/>
          <w:color w:val="335D4F"/>
          <w:sz w:val="24"/>
        </w:rPr>
        <w:t>3. Timeline</w:t>
      </w:r>
    </w:p>
    <w:p>
      <w:pPr>
        <w:spacing w:before="0" w:after="40" w:line="220" w:lineRule="exact"/>
      </w:pPr>
      <w:r>
        <w:rPr>
          <w:rFonts w:ascii="Georgia" w:hAnsi="Georgia" w:cs="Georgia" w:eastAsia="Georgia"/>
          <w:b w:val="0"/>
          <w:i w:val="0"/>
          <w:color w:val="222A27"/>
          <w:sz w:val="18"/>
        </w:rPr>
        <w:t>Gideon has confirmed the Q1 2027 launch: January 2027 is the design month, February 2027 is on-site training, and March 2027 is the start of Incubation. Ideation (4 weeks) sits inside February with that training, so it still comes before Incubation. That February placement is an assumption. Acceleration (12 weeks) and Growth (12 weeks) follow in sequence.</w:t>
      </w:r>
    </w:p>
    <w:tbl>
      <w:tblPr>
        <w:tblW w:type="dxa" w:w="10656"/>
        <w:tblLayout w:type="fixed"/>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2131"/>
        <w:gridCol w:w="2131"/>
        <w:gridCol w:w="2131"/>
        <w:gridCol w:w="2131"/>
        <w:gridCol w:w="2131"/>
      </w:tblGrid>
      <w:tr>
        <w:trPr>
          <w:cantSplit/>
        </w:trPr>
        <w:tc>
          <w:tcPr>
            <w:tcW w:type="dxa" w:w="2131"/>
            <w:shd w:val="clear" w:color="auto" w:fill="1B4332"/>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Jan 2027</w:t>
            </w:r>
            <w:r>
              <w:br/>
            </w:r>
            <w:r>
              <w:rPr>
                <w:rFonts w:ascii="Arial" w:hAnsi="Arial" w:cs="Arial" w:eastAsia="Arial"/>
                <w:b w:val="0"/>
                <w:i w:val="0"/>
                <w:color w:val="FFFFFF"/>
                <w:sz w:val="15"/>
              </w:rPr>
              <w:t>Design month</w:t>
            </w:r>
          </w:p>
        </w:tc>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Feb 2027</w:t>
            </w:r>
            <w:r>
              <w:br/>
            </w:r>
            <w:r>
              <w:rPr>
                <w:rFonts w:ascii="Arial" w:hAnsi="Arial" w:cs="Arial" w:eastAsia="Arial"/>
                <w:b w:val="0"/>
                <w:i w:val="0"/>
                <w:color w:val="FFFFFF"/>
                <w:sz w:val="15"/>
              </w:rPr>
              <w:t>On-site training</w:t>
            </w:r>
            <w:r>
              <w:br/>
            </w:r>
            <w:r>
              <w:rPr>
                <w:rFonts w:ascii="Arial" w:hAnsi="Arial" w:cs="Arial" w:eastAsia="Arial"/>
                <w:b w:val="0"/>
                <w:i w:val="0"/>
                <w:color w:val="FFFFFF"/>
                <w:sz w:val="15"/>
              </w:rPr>
              <w:t>Ideation, 4 weeks</w:t>
            </w:r>
            <w:r>
              <w:br/>
            </w:r>
            <w:r>
              <w:rPr>
                <w:rFonts w:ascii="Arial" w:hAnsi="Arial" w:cs="Arial" w:eastAsia="Arial"/>
                <w:b/>
                <w:i w:val="0"/>
                <w:color w:val="FFFFFF"/>
                <w:sz w:val="15"/>
              </w:rPr>
              <w:t>Assumption</w:t>
            </w:r>
          </w:p>
        </w:tc>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Mar 2027</w:t>
            </w:r>
            <w:r>
              <w:br/>
            </w:r>
            <w:r>
              <w:rPr>
                <w:rFonts w:ascii="Arial" w:hAnsi="Arial" w:cs="Arial" w:eastAsia="Arial"/>
                <w:b w:val="0"/>
                <w:i w:val="0"/>
                <w:color w:val="FFFFFF"/>
                <w:sz w:val="15"/>
              </w:rPr>
              <w:t>Incubation starts</w:t>
            </w:r>
            <w:r>
              <w:br/>
            </w:r>
            <w:r>
              <w:rPr>
                <w:rFonts w:ascii="Arial" w:hAnsi="Arial" w:cs="Arial" w:eastAsia="Arial"/>
                <w:b w:val="0"/>
                <w:i w:val="0"/>
                <w:color w:val="FFFFFF"/>
                <w:sz w:val="15"/>
              </w:rPr>
              <w:t>10 weeks</w:t>
            </w:r>
          </w:p>
        </w:tc>
        <w:tc>
          <w:tcPr>
            <w:tcW w:type="dxa" w:w="2131"/>
            <w:shd w:val="clear" w:color="auto" w:fill="3E6B58"/>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Then</w:t>
            </w:r>
            <w:r>
              <w:br/>
            </w:r>
            <w:r>
              <w:rPr>
                <w:rFonts w:ascii="Arial" w:hAnsi="Arial" w:cs="Arial" w:eastAsia="Arial"/>
                <w:b w:val="0"/>
                <w:i w:val="0"/>
                <w:color w:val="FFFFFF"/>
                <w:sz w:val="15"/>
              </w:rPr>
              <w:t>Acceleration</w:t>
            </w:r>
            <w:r>
              <w:br/>
            </w:r>
            <w:r>
              <w:rPr>
                <w:rFonts w:ascii="Arial" w:hAnsi="Arial" w:cs="Arial" w:eastAsia="Arial"/>
                <w:b w:val="0"/>
                <w:i w:val="0"/>
                <w:color w:val="FFFFFF"/>
                <w:sz w:val="15"/>
              </w:rPr>
              <w:t>12 weeks</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Then</w:t>
            </w:r>
            <w:r>
              <w:br/>
            </w:r>
            <w:r>
              <w:rPr>
                <w:rFonts w:ascii="Arial" w:hAnsi="Arial" w:cs="Arial" w:eastAsia="Arial"/>
                <w:b w:val="0"/>
                <w:i w:val="0"/>
                <w:color w:val="FFFFFF"/>
                <w:sz w:val="15"/>
              </w:rPr>
              <w:t>Growth</w:t>
            </w:r>
            <w:r>
              <w:br/>
            </w:r>
            <w:r>
              <w:rPr>
                <w:rFonts w:ascii="Arial" w:hAnsi="Arial" w:cs="Arial" w:eastAsia="Arial"/>
                <w:b w:val="0"/>
                <w:i w:val="0"/>
                <w:color w:val="FFFFFF"/>
                <w:sz w:val="15"/>
              </w:rPr>
              <w:t>12 weeks</w:t>
            </w:r>
          </w:p>
        </w:tc>
      </w:tr>
    </w:tbl>
    <w:tbl>
      <w:tblPr>
        <w:tblW w:type="dxa" w:w="10656"/>
        <w:tblLayout w:type="fixed"/>
        <w:tblLook w:firstColumn="1" w:firstRow="1" w:lastColumn="0" w:lastRow="0" w:noHBand="0" w:noVBand="1" w:val="04A0"/>
        <w:tblBorders>
          <w:top w:val="single" w:sz="4" w:space="0" w:color="335D4F"/>
          <w:left w:val="single" w:sz="4" w:space="0" w:color="335D4F"/>
          <w:bottom w:val="single" w:sz="4" w:space="0" w:color="335D4F"/>
          <w:right w:val="single" w:sz="4" w:space="0" w:color="335D4F"/>
          <w:insideH w:val="single" w:sz="4" w:space="0" w:color="335D4F"/>
          <w:insideV w:val="single" w:sz="4" w:space="0" w:color="335D4F"/>
        </w:tblBorders>
      </w:tblPr>
      <w:tblGrid>
        <w:gridCol w:w="2131"/>
        <w:gridCol w:w="2131"/>
        <w:gridCol w:w="2131"/>
        <w:gridCol w:w="2131"/>
        <w:gridCol w:w="2131"/>
      </w:tblGrid>
      <w:tr>
        <w:trPr>
          <w:cantSplit/>
        </w:trPr>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21 Oct 2026</w:t>
            </w:r>
            <w:r>
              <w:br/>
            </w:r>
            <w:r>
              <w:rPr>
                <w:rFonts w:ascii="Arial" w:hAnsi="Arial" w:cs="Arial" w:eastAsia="Arial"/>
                <w:b w:val="0"/>
                <w:i w:val="0"/>
                <w:color w:val="FFFFFF"/>
                <w:sz w:val="15"/>
              </w:rPr>
              <w:t>Meeting with Pav</w:t>
            </w:r>
          </w:p>
        </w:tc>
        <w:tc>
          <w:tcPr>
            <w:tcW w:type="dxa" w:w="2131"/>
            <w:shd w:val="clear" w:color="auto" w:fill="FF6633"/>
            <w:vAlign w:val="center"/>
            <w:tcMar>
              <w:top w:w="26" w:type="dxa"/>
              <w:left w:w="40" w:type="dxa"/>
              <w:bottom w:w="26" w:type="dxa"/>
              <w:right w:w="40" w:type="dxa"/>
            </w:tcMar>
          </w:tcPr>
          <w:p>
            <w:pPr>
              <w:spacing w:before="0" w:after="0" w:line="170" w:lineRule="exact"/>
              <w:jc w:val="center"/>
            </w:pPr>
            <w:r/>
            <w:r>
              <w:rPr>
                <w:rFonts w:ascii="Arial" w:hAnsi="Arial" w:cs="Arial" w:eastAsia="Arial"/>
                <w:b/>
                <w:i w:val="0"/>
                <w:color w:val="FFFFFF"/>
                <w:sz w:val="14"/>
              </w:rPr>
              <w:t>1 Dec 2026</w:t>
            </w:r>
            <w:r>
              <w:br/>
            </w:r>
            <w:r>
              <w:rPr>
                <w:rFonts w:ascii="Arial" w:hAnsi="Arial" w:cs="Arial" w:eastAsia="Arial"/>
                <w:b w:val="0"/>
                <w:i w:val="0"/>
                <w:color w:val="FFFFFF"/>
                <w:sz w:val="14"/>
              </w:rPr>
              <w:t>Agreement and</w:t>
            </w:r>
            <w:r>
              <w:br/>
            </w:r>
            <w:r>
              <w:rPr>
                <w:rFonts w:ascii="Arial" w:hAnsi="Arial" w:cs="Arial" w:eastAsia="Arial"/>
                <w:b w:val="0"/>
                <w:i w:val="0"/>
                <w:color w:val="FFFFFF"/>
                <w:sz w:val="14"/>
              </w:rPr>
              <w:t>Year 1 funding</w:t>
            </w:r>
            <w:r>
              <w:br/>
            </w:r>
            <w:r>
              <w:rPr>
                <w:rFonts w:ascii="Arial" w:hAnsi="Arial" w:cs="Arial" w:eastAsia="Arial"/>
                <w:b/>
                <w:i w:val="0"/>
                <w:color w:val="FFFFFF"/>
                <w:sz w:val="14"/>
              </w:rPr>
              <w:t>TO CONFIRM</w:t>
            </w:r>
          </w:p>
        </w:tc>
        <w:tc>
          <w:tcPr>
            <w:tcW w:type="dxa" w:w="2131"/>
            <w:shd w:val="clear" w:color="auto" w:fill="335D4F"/>
            <w:vAlign w:val="center"/>
            <w:tcMar>
              <w:top w:w="26" w:type="dxa"/>
              <w:left w:w="40" w:type="dxa"/>
              <w:bottom w:w="26" w:type="dxa"/>
              <w:right w:w="40" w:type="dxa"/>
            </w:tcMar>
          </w:tcPr>
          <w:p>
            <w:pPr>
              <w:spacing w:before="0" w:after="0" w:line="170" w:lineRule="exact"/>
              <w:jc w:val="center"/>
            </w:pPr>
            <w:r/>
            <w:r>
              <w:rPr>
                <w:rFonts w:ascii="Arial" w:hAnsi="Arial" w:cs="Arial" w:eastAsia="Arial"/>
                <w:b/>
                <w:i w:val="0"/>
                <w:color w:val="FFFFFF"/>
                <w:sz w:val="14"/>
              </w:rPr>
              <w:t>Sept 2027</w:t>
            </w:r>
            <w:r>
              <w:br/>
            </w:r>
            <w:r>
              <w:rPr>
                <w:rFonts w:ascii="Arial" w:hAnsi="Arial" w:cs="Arial" w:eastAsia="Arial"/>
                <w:b w:val="0"/>
                <w:i w:val="0"/>
                <w:color w:val="FFFFFF"/>
                <w:sz w:val="14"/>
              </w:rPr>
              <w:t>UNGA82 and</w:t>
            </w:r>
            <w:r>
              <w:br/>
            </w:r>
            <w:r>
              <w:rPr>
                <w:rFonts w:ascii="Arial" w:hAnsi="Arial" w:cs="Arial" w:eastAsia="Arial"/>
                <w:b w:val="0"/>
                <w:i w:val="0"/>
                <w:color w:val="FFFFFF"/>
                <w:sz w:val="14"/>
              </w:rPr>
              <w:t>Climate Week NYC</w:t>
            </w:r>
            <w:r>
              <w:br/>
            </w:r>
            <w:r>
              <w:rPr>
                <w:rFonts w:ascii="Arial" w:hAnsi="Arial" w:cs="Arial" w:eastAsia="Arial"/>
                <w:b/>
                <w:i w:val="0"/>
                <w:color w:val="FFFFFF"/>
                <w:sz w:val="14"/>
              </w:rPr>
              <w:t>Team slots TO CONFIRM</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2028</w:t>
            </w:r>
            <w:r>
              <w:br/>
            </w:r>
            <w:r>
              <w:rPr>
                <w:rFonts w:ascii="Arial" w:hAnsi="Arial" w:cs="Arial" w:eastAsia="Arial"/>
                <w:b w:val="0"/>
                <w:i w:val="0"/>
                <w:color w:val="FFFFFF"/>
                <w:sz w:val="15"/>
              </w:rPr>
              <w:t>Year 2</w:t>
            </w:r>
            <w:r>
              <w:br/>
            </w:r>
            <w:r>
              <w:rPr>
                <w:rFonts w:ascii="Arial" w:hAnsi="Arial" w:cs="Arial" w:eastAsia="Arial"/>
                <w:b w:val="0"/>
                <w:i w:val="0"/>
                <w:color w:val="FFFFFF"/>
                <w:sz w:val="15"/>
              </w:rPr>
              <w:t>US$75,000</w:t>
            </w:r>
            <w:r>
              <w:br/>
            </w:r>
            <w:r>
              <w:rPr>
                <w:rFonts w:ascii="Arial" w:hAnsi="Arial" w:cs="Arial" w:eastAsia="Arial"/>
                <w:b/>
                <w:i w:val="0"/>
                <w:color w:val="FFFFFF"/>
                <w:sz w:val="15"/>
              </w:rPr>
              <w:t>TO CONFIRM</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2029</w:t>
            </w:r>
            <w:r>
              <w:br/>
            </w:r>
            <w:r>
              <w:rPr>
                <w:rFonts w:ascii="Arial" w:hAnsi="Arial" w:cs="Arial" w:eastAsia="Arial"/>
                <w:b w:val="0"/>
                <w:i w:val="0"/>
                <w:color w:val="FFFFFF"/>
                <w:sz w:val="15"/>
              </w:rPr>
              <w:t>Year 3</w:t>
            </w:r>
            <w:r>
              <w:br/>
            </w:r>
            <w:r>
              <w:rPr>
                <w:rFonts w:ascii="Arial" w:hAnsi="Arial" w:cs="Arial" w:eastAsia="Arial"/>
                <w:b w:val="0"/>
                <w:i w:val="0"/>
                <w:color w:val="FFFFFF"/>
                <w:sz w:val="15"/>
              </w:rPr>
              <w:t>US$50,000</w:t>
            </w:r>
            <w:r>
              <w:br/>
            </w:r>
            <w:r>
              <w:rPr>
                <w:rFonts w:ascii="Arial" w:hAnsi="Arial" w:cs="Arial" w:eastAsia="Arial"/>
                <w:b/>
                <w:i w:val="0"/>
                <w:color w:val="FFFFFF"/>
                <w:sz w:val="15"/>
              </w:rPr>
              <w:t>TO CONFIRM</w:t>
            </w:r>
          </w:p>
        </w:tc>
      </w:tr>
    </w:tbl>
    <w:p>
      <w:pPr>
        <w:spacing w:before="40" w:after="20" w:line="210" w:lineRule="exact"/>
      </w:pPr>
      <w:r>
        <w:rPr>
          <w:rFonts w:ascii="Georgia" w:hAnsi="Georgia" w:cs="Georgia" w:eastAsia="Georgia"/>
          <w:b w:val="0"/>
          <w:i w:val="0"/>
          <w:color w:val="222A27"/>
          <w:sz w:val="17"/>
        </w:rPr>
        <w:t>UNGA82 opens 7 September 2027. The general debate opens 21 September 2027 (UN schedule). Climate Week NYC is the same month. Exact Climate Week dates are TO CONFIRM. The REIN plan is an SDG Media Zone slot for 2 incubation winners and 2 growth teams. That slot is TO CONFIRM.</w:t>
      </w:r>
    </w:p>
    <w:p>
      <w:pPr>
        <w:keepNext/>
        <w:spacing w:before="60" w:after="20" w:line="280" w:lineRule="exact"/>
      </w:pPr>
      <w:r>
        <w:rPr>
          <w:rFonts w:ascii="Arial" w:hAnsi="Arial" w:cs="Arial" w:eastAsia="Arial"/>
          <w:b/>
          <w:i w:val="0"/>
          <w:color w:val="335D4F"/>
          <w:sz w:val="24"/>
        </w:rPr>
        <w:t>4. Donor programs in Ghana, 2026-2030</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3096"/>
        <w:gridCol w:w="2232"/>
        <w:gridCol w:w="2664"/>
        <w:gridCol w:w="2664"/>
      </w:tblGrid>
      <w:tr>
        <w:trPr>
          <w:cantSplit/>
        </w:trPr>
        <w:tc>
          <w:tcPr>
            <w:tcW w:type="dxa" w:w="3096"/>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Donor / program</w:t>
            </w:r>
          </w:p>
        </w:tc>
        <w:tc>
          <w:tcPr>
            <w:tcW w:type="dxa" w:w="2232"/>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Period</w:t>
            </w:r>
          </w:p>
        </w:tc>
        <w:tc>
          <w:tcPr>
            <w:tcW w:type="dxa" w:w="2664"/>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Size</w:t>
            </w:r>
          </w:p>
        </w:tc>
        <w:tc>
          <w:tcPr>
            <w:tcW w:type="dxa" w:w="2664"/>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Fit for REIN</w:t>
            </w:r>
          </w:p>
        </w:tc>
      </w:tr>
      <w:tr>
        <w:trPr>
          <w:cantSplit/>
        </w:trPr>
        <w:tc>
          <w:tcPr>
            <w:tcW w:type="dxa" w:w="3096"/>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Danida Green Business Partnerships (1)</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3 to 5 years. 2025 round closed.</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DKK 4 million to 15 million</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Climate adaptation. Ghana eligible. A university cannot administer.</w:t>
            </w:r>
          </w:p>
        </w:tc>
      </w:tr>
      <w:tr>
        <w:trPr>
          <w:cantSplit/>
        </w:trPr>
        <w:tc>
          <w:tcPr>
            <w:tcW w:type="dxa" w:w="3096"/>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GIZ / BMZ, GCIC at Ashesi (2)</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PFS ends Dec 2025. Renewal UNVERIFIED.</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About EUR 1.2 million</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Closest university climate incubator.</w:t>
            </w:r>
          </w:p>
        </w:tc>
      </w:tr>
      <w:tr>
        <w:trPr>
          <w:cantSplit/>
        </w:trPr>
        <w:tc>
          <w:tcPr>
            <w:tcW w:type="dxa" w:w="3096"/>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AfDB MicroGREEN (3)</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From Mar 2024. End past 2026 UNVERIFIED.</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US$850,000 plus initial US$1 million</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Green jobs. Already with Invest in Africa.</w:t>
            </w:r>
          </w:p>
        </w:tc>
      </w:tr>
      <w:tr>
        <w:trPr>
          <w:cantSplit/>
        </w:trPr>
        <w:tc>
          <w:tcPr>
            <w:tcW w:type="dxa" w:w="3096"/>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Mastercard Climate Impact Challenge (4)</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3-year grants. Round 2 to Jan 2026.</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US$250,000 to US$1,500,000</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For cohort startups, not the hub host.</w:t>
            </w:r>
          </w:p>
        </w:tc>
      </w:tr>
      <w:tr>
        <w:trPr>
          <w:cantSplit/>
        </w:trPr>
        <w:tc>
          <w:tcPr>
            <w:tcW w:type="dxa" w:w="3096"/>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EU Global Gateway, green growth for jobs (5)</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MIP to 2027. 2025-27 amount not set.</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EUR 71.05 million was 2021-24. Later years UNVERIFIED.</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Strategic window. No named hub call.</w:t>
            </w:r>
          </w:p>
        </w:tc>
      </w:tr>
      <w:tr>
        <w:trPr>
          <w:cantSplit/>
        </w:trPr>
        <w:tc>
          <w:tcPr>
            <w:tcW w:type="dxa" w:w="3096"/>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UK-Ghana Growth Partnership (6)</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2026 to 2028</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GBP 5 million green prep. GBP 6 million AI and science.</w:t>
            </w:r>
          </w:p>
        </w:tc>
        <w:tc>
          <w:tcPr>
            <w:tcW w:type="dxa" w:w="2664"/>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Live partnership. Not a hub grant.</w:t>
            </w:r>
          </w:p>
        </w:tc>
      </w:tr>
    </w:tbl>
    <w:p>
      <w:pPr>
        <w:spacing w:before="40" w:after="20" w:line="190" w:lineRule="exact"/>
      </w:pPr>
      <w:r>
        <w:rPr>
          <w:rFonts w:ascii="Georgia" w:hAnsi="Georgia" w:cs="Georgia" w:eastAsia="Georgia"/>
          <w:b w:val="0"/>
          <w:i w:val="0"/>
          <w:color w:val="222A27"/>
          <w:sz w:val="15"/>
        </w:rPr>
        <w:t>Ranks 7 to 10 are in the full scan. (1) danida-business-partnerships.dk  (2) ghanacic.ashesi.edu.gh  (3) afdb.org MicroGREEN release  (4) frp.org Climate Impact Challenge Fund  (5) EU MIP annex, international-partnerships.ec.europa.eu  (6) gov.uk UK-Ghana Growth Partnership.</w:t>
      </w:r>
    </w:p>
    <w:p>
      <w:pPr>
        <w:spacing w:before="20" w:after="0" w:line="220" w:lineRule="exact"/>
      </w:pPr>
      <w:r>
        <w:rPr>
          <w:rFonts w:ascii="Georgia" w:hAnsi="Georgia" w:cs="Georgia" w:eastAsia="Georgia"/>
          <w:b w:val="0"/>
          <w:i w:val="0"/>
          <w:color w:val="222A27"/>
          <w:sz w:val="17"/>
        </w:rPr>
        <w:t>Best routes: Danida with PVBLIC as lead, GIZ renewal, Mastercard for cohort startups. USAID out (86% of awards terminated, Mar 2025).</w:t>
      </w:r>
    </w:p>
    <w:sectPr w:rsidR="00FC693F" w:rsidRPr="0006063C" w:rsidSect="00034616">
      <w:footerReference w:type="default" r:id="rId10"/>
      <w:pgSz w:w="12240" w:h="15840"/>
      <w:pgMar w:top="576" w:right="792" w:bottom="605" w:left="792" w:header="230" w:footer="23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20" w:lineRule="exact"/>
      <w:pBdr>
        <w:top w:val="single" w:sz="6" w:space="1" w:color="335D4F"/>
      </w:pBdr>
    </w:pPr>
    <w:r>
      <w:rPr>
        <w:rFonts w:ascii="Arial" w:hAnsi="Arial" w:cs="Arial" w:eastAsia="Arial"/>
        <w:b w:val="0"/>
        <w:i w:val="0"/>
        <w:color w:val="335D4F"/>
        <w:sz w:val="16"/>
      </w:rPr>
      <w:t>Internal prep, not for circulation. Source: REIN × Academic City proposal, Apr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Georgia" w:hAnsi="Georgia" w:cs="Georgia" w:eastAsia="Georgia"/>
      <w:color w:val="222A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 Ghana Hub × Academic City: what ACity brings and what it costs</dc:title>
  <dc:subject>Internal prep, not for circulation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REIN Hubs internal</cp:category>
</cp:coreProperties>
</file>