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40" w:lineRule="auto"/>
      </w:pPr>
      <w:r>
        <w:drawing>
          <wp:inline xmlns:a="http://schemas.openxmlformats.org/drawingml/2006/main" xmlns:pic="http://schemas.openxmlformats.org/drawingml/2006/picture">
            <wp:extent cx="2606040" cy="765451"/>
            <wp:docPr id="1" name="Picture 1"/>
            <wp:cNvGraphicFramePr>
              <a:graphicFrameLocks noChangeAspect="1"/>
            </wp:cNvGraphicFramePr>
            <a:graphic>
              <a:graphicData uri="http://schemas.openxmlformats.org/drawingml/2006/picture">
                <pic:pic>
                  <pic:nvPicPr>
                    <pic:cNvPr id="0" name="rein-logo-header.png"/>
                    <pic:cNvPicPr/>
                  </pic:nvPicPr>
                  <pic:blipFill>
                    <a:blip r:embed="rId9"/>
                    <a:stretch>
                      <a:fillRect/>
                    </a:stretch>
                  </pic:blipFill>
                  <pic:spPr>
                    <a:xfrm>
                      <a:off x="0" y="0"/>
                      <a:ext cx="2606040" cy="765451"/>
                    </a:xfrm>
                    <a:prstGeom prst="rect"/>
                  </pic:spPr>
                </pic:pic>
              </a:graphicData>
            </a:graphic>
          </wp:inline>
        </w:drawing>
      </w:r>
    </w:p>
    <w:p>
      <w:pPr>
        <w:keepNext/>
        <w:spacing w:before="20" w:after="0" w:line="320" w:lineRule="exact"/>
      </w:pPr>
      <w:r>
        <w:rPr>
          <w:rFonts w:ascii="Arial" w:hAnsi="Arial" w:cs="Arial" w:eastAsia="Arial"/>
          <w:b/>
          <w:i w:val="0"/>
          <w:color w:val="335D4F"/>
          <w:sz w:val="27"/>
        </w:rPr>
        <w:t>REIN Ghana Hub × Academic City: what ACity brings and what it costs</w:t>
      </w:r>
    </w:p>
    <w:p>
      <w:pPr>
        <w:spacing w:before="0" w:after="40" w:line="240" w:lineRule="exact"/>
      </w:pPr>
      <w:r>
        <w:rPr>
          <w:rFonts w:ascii="Arial" w:hAnsi="Arial" w:cs="Arial" w:eastAsia="Arial"/>
          <w:b w:val="0"/>
          <w:i w:val="0"/>
          <w:color w:val="FF6633"/>
          <w:sz w:val="17"/>
        </w:rPr>
        <w:t>Internal prep for Gideon Blaauw (CleantechHUB) with Laurence Kalinsky (PVBLIC), before the meeting with Pav, Academic City University (ACity), Accra. 20 October 2026.</w:t>
      </w:r>
    </w:p>
    <w:p>
      <w:pPr>
        <w:keepNext/>
        <w:spacing w:before="80" w:after="20" w:line="280" w:lineRule="exact"/>
      </w:pPr>
      <w:r>
        <w:rPr>
          <w:rFonts w:ascii="Arial" w:hAnsi="Arial" w:cs="Arial" w:eastAsia="Arial"/>
          <w:b/>
          <w:i w:val="0"/>
          <w:color w:val="335D4F"/>
          <w:sz w:val="24"/>
        </w:rPr>
        <w:t>1. What ACity brings, in kind</w:t>
      </w:r>
    </w:p>
    <w:p>
      <w:pPr>
        <w:spacing w:before="0" w:after="40" w:line="260" w:lineRule="exact"/>
      </w:pPr>
      <w:r>
        <w:rPr>
          <w:rFonts w:ascii="Georgia" w:hAnsi="Georgia" w:cs="Georgia" w:eastAsia="Georgia"/>
          <w:b w:val="0"/>
          <w:i w:val="0"/>
          <w:color w:val="222A27"/>
          <w:sz w:val="20"/>
        </w:rPr>
        <w:t>TEC (Technology &amp; Entrepreneurship Center), led by Makafui Awuku, runs the US State Department CCE Climate Tech Accelerator.</w:t>
      </w:r>
    </w:p>
    <w:p>
      <w:pPr>
        <w:spacing w:before="0" w:after="40" w:line="260" w:lineRule="exact"/>
      </w:pPr>
      <w:r>
        <w:rPr>
          <w:rFonts w:ascii="Georgia" w:hAnsi="Georgia" w:cs="Georgia" w:eastAsia="Georgia"/>
          <w:b w:val="0"/>
          <w:i w:val="0"/>
          <w:color w:val="222A27"/>
          <w:sz w:val="20"/>
        </w:rPr>
        <w:t>In Q3 2025, TEC trained 140 youth in 73 workshops. Participation was 48% female.</w:t>
      </w:r>
    </w:p>
    <w:p>
      <w:pPr>
        <w:spacing w:before="0" w:after="40" w:line="260" w:lineRule="exact"/>
      </w:pPr>
      <w:r>
        <w:rPr>
          <w:rFonts w:ascii="Georgia" w:hAnsi="Georgia" w:cs="Georgia" w:eastAsia="Georgia"/>
          <w:b w:val="0"/>
          <w:i w:val="0"/>
          <w:color w:val="222A27"/>
          <w:sz w:val="20"/>
        </w:rPr>
        <w:t>Africa's first Sustainability Laboratory was inaugurated on 9 February 2023. It is a CCE initiative, and home of the Telesto Climate Tech Accelerator (17 entrepreneurs in the 2023 cohort).</w:t>
      </w:r>
    </w:p>
    <w:p>
      <w:pPr>
        <w:spacing w:before="0" w:after="40" w:line="260" w:lineRule="exact"/>
      </w:pPr>
      <w:r>
        <w:rPr>
          <w:rFonts w:ascii="Georgia" w:hAnsi="Georgia" w:cs="Georgia" w:eastAsia="Georgia"/>
          <w:b w:val="0"/>
          <w:i w:val="0"/>
          <w:color w:val="222A27"/>
          <w:sz w:val="20"/>
        </w:rPr>
        <w:t>About 500 students, and 25+ nationalities. AI and Robotics degrees fit PVBLIC ALI (AI Leapfrog Initiative) Logic Centers. International industry mentors 200+ students and educators a year. Northeastern University is a research link. Alumni are at Apple UK and Zipline.</w:t>
      </w:r>
    </w:p>
    <w:p>
      <w:pPr>
        <w:spacing w:before="0" w:after="60" w:line="260" w:lineRule="exact"/>
      </w:pPr>
      <w:r>
        <w:rPr>
          <w:rFonts w:ascii="Georgia" w:hAnsi="Georgia" w:cs="Georgia" w:eastAsia="Georgia"/>
          <w:b w:val="0"/>
          <w:i w:val="0"/>
          <w:color w:val="222A27"/>
          <w:sz w:val="20"/>
        </w:rPr>
        <w:t>The US State Department CCE stays the anchor. REIN adds a non-US capital channel: FOSD (Family Offices for Sustainable Development) family offices and European corporates. That channel points toward the ACU Foundation's US$10 million goal over three years.</w:t>
      </w:r>
    </w:p>
    <w:tbl>
      <w:tblPr>
        <w:tblW w:type="dxa" w:w="10656"/>
        <w:tblLayout w:type="fixed"/>
        <w:tblLook w:firstColumn="1" w:firstRow="1" w:lastColumn="0" w:lastRow="0" w:noHBand="0" w:noVBand="1" w:val="04A0"/>
        <w:tblBorders>
          <w:top w:val="single" w:sz="4" w:space="0" w:color="C5D5CE"/>
          <w:left w:val="single" w:sz="4" w:space="0" w:color="C5D5CE"/>
          <w:bottom w:val="single" w:sz="4" w:space="0" w:color="C5D5CE"/>
          <w:right w:val="single" w:sz="4" w:space="0" w:color="C5D5CE"/>
          <w:insideH w:val="single" w:sz="4" w:space="0" w:color="C5D5CE"/>
          <w:insideV w:val="single" w:sz="4" w:space="0" w:color="C5D5CE"/>
        </w:tblBorders>
      </w:tblPr>
      <w:tblGrid>
        <w:gridCol w:w="1944"/>
        <w:gridCol w:w="4104"/>
        <w:gridCol w:w="4608"/>
      </w:tblGrid>
      <w:tr>
        <w:trPr>
          <w:cantSplit/>
        </w:trPr>
        <w:tc>
          <w:tcPr>
            <w:tcW w:type="dxa" w:w="1944"/>
            <w:shd w:val="clear" w:color="auto" w:fill="335D4F"/>
            <w:vAlign w:val="center"/>
            <w:tcMar>
              <w:top w:w="30" w:type="dxa"/>
              <w:left w:w="70" w:type="dxa"/>
              <w:bottom w:w="30" w:type="dxa"/>
              <w:right w:w="70" w:type="dxa"/>
            </w:tcMar>
          </w:tcPr>
          <w:p>
            <w:pPr>
              <w:spacing w:before="0" w:after="0" w:line="200" w:lineRule="exact"/>
            </w:pPr>
            <w:r/>
            <w:r>
              <w:rPr>
                <w:rFonts w:ascii="Arial" w:hAnsi="Arial" w:cs="Arial" w:eastAsia="Arial"/>
                <w:b/>
                <w:i w:val="0"/>
                <w:color w:val="FFFFFF"/>
                <w:sz w:val="16"/>
              </w:rPr>
              <w:t>REIN stage</w:t>
            </w:r>
          </w:p>
        </w:tc>
        <w:tc>
          <w:tcPr>
            <w:tcW w:type="dxa" w:w="4104"/>
            <w:shd w:val="clear" w:color="auto" w:fill="335D4F"/>
            <w:vAlign w:val="center"/>
            <w:tcMar>
              <w:top w:w="30" w:type="dxa"/>
              <w:left w:w="70" w:type="dxa"/>
              <w:bottom w:w="30" w:type="dxa"/>
              <w:right w:w="70" w:type="dxa"/>
            </w:tcMar>
          </w:tcPr>
          <w:p>
            <w:pPr>
              <w:spacing w:before="0" w:after="0" w:line="200" w:lineRule="exact"/>
            </w:pPr>
            <w:r/>
            <w:r>
              <w:rPr>
                <w:rFonts w:ascii="Arial" w:hAnsi="Arial" w:cs="Arial" w:eastAsia="Arial"/>
                <w:b/>
                <w:i w:val="0"/>
                <w:color w:val="FFFFFF"/>
                <w:sz w:val="16"/>
              </w:rPr>
              <w:t>Scale</w:t>
            </w:r>
          </w:p>
        </w:tc>
        <w:tc>
          <w:tcPr>
            <w:tcW w:type="dxa" w:w="4608"/>
            <w:shd w:val="clear" w:color="auto" w:fill="335D4F"/>
            <w:vAlign w:val="center"/>
            <w:tcMar>
              <w:top w:w="30" w:type="dxa"/>
              <w:left w:w="70" w:type="dxa"/>
              <w:bottom w:w="30" w:type="dxa"/>
              <w:right w:w="70" w:type="dxa"/>
            </w:tcMar>
          </w:tcPr>
          <w:p>
            <w:pPr>
              <w:spacing w:before="0" w:after="0" w:line="200" w:lineRule="exact"/>
            </w:pPr>
            <w:r/>
            <w:r>
              <w:rPr>
                <w:rFonts w:ascii="Arial" w:hAnsi="Arial" w:cs="Arial" w:eastAsia="Arial"/>
                <w:b/>
                <w:i w:val="0"/>
                <w:color w:val="FFFFFF"/>
                <w:sz w:val="16"/>
              </w:rPr>
              <w:t>ACity asset</w:t>
            </w:r>
          </w:p>
        </w:tc>
      </w:tr>
      <w:tr>
        <w:trPr>
          <w:cantSplit/>
        </w:trPr>
        <w:tc>
          <w:tcPr>
            <w:tcW w:type="dxa" w:w="1944"/>
            <w:vAlign w:val="center"/>
            <w:tcMar>
              <w:top w:w="30" w:type="dxa"/>
              <w:left w:w="70" w:type="dxa"/>
              <w:bottom w:w="30" w:type="dxa"/>
              <w:right w:w="70" w:type="dxa"/>
            </w:tcMar>
          </w:tcPr>
          <w:p>
            <w:pPr>
              <w:spacing w:before="0" w:after="0" w:line="200" w:lineRule="exact"/>
            </w:pPr>
            <w:r/>
            <w:r>
              <w:rPr>
                <w:rFonts w:ascii="Arial" w:hAnsi="Arial" w:cs="Arial" w:eastAsia="Arial"/>
                <w:b/>
                <w:i w:val="0"/>
                <w:color w:val="222A27"/>
                <w:sz w:val="16"/>
              </w:rPr>
              <w:t>Ideation</w:t>
            </w:r>
          </w:p>
        </w:tc>
        <w:tc>
          <w:tcPr>
            <w:tcW w:type="dxa" w:w="4104"/>
            <w:vAlign w:val="center"/>
            <w:tcMar>
              <w:top w:w="30" w:type="dxa"/>
              <w:left w:w="70" w:type="dxa"/>
              <w:bottom w:w="30" w:type="dxa"/>
              <w:right w:w="70" w:type="dxa"/>
            </w:tcMar>
          </w:tcPr>
          <w:p>
            <w:pPr>
              <w:spacing w:before="0" w:after="0" w:line="200" w:lineRule="exact"/>
            </w:pPr>
            <w:r/>
            <w:r>
              <w:rPr>
                <w:rFonts w:ascii="Arial" w:hAnsi="Arial" w:cs="Arial" w:eastAsia="Arial"/>
                <w:b w:val="0"/>
                <w:i w:val="0"/>
                <w:color w:val="222A27"/>
                <w:sz w:val="16"/>
              </w:rPr>
              <w:t>50 participants, 4 weeks</w:t>
            </w:r>
          </w:p>
        </w:tc>
        <w:tc>
          <w:tcPr>
            <w:tcW w:type="dxa" w:w="4608"/>
            <w:vAlign w:val="center"/>
            <w:tcMar>
              <w:top w:w="30" w:type="dxa"/>
              <w:left w:w="70" w:type="dxa"/>
              <w:bottom w:w="30" w:type="dxa"/>
              <w:right w:w="70" w:type="dxa"/>
            </w:tcMar>
          </w:tcPr>
          <w:p>
            <w:pPr>
              <w:spacing w:before="0" w:after="0" w:line="200" w:lineRule="exact"/>
            </w:pPr>
            <w:r/>
            <w:r>
              <w:rPr>
                <w:rFonts w:ascii="Arial" w:hAnsi="Arial" w:cs="Arial" w:eastAsia="Arial"/>
                <w:b w:val="0"/>
                <w:i w:val="0"/>
                <w:color w:val="222A27"/>
                <w:sz w:val="16"/>
              </w:rPr>
              <w:t>TEC workshops and students</w:t>
            </w:r>
          </w:p>
        </w:tc>
      </w:tr>
      <w:tr>
        <w:trPr>
          <w:cantSplit/>
        </w:trPr>
        <w:tc>
          <w:tcPr>
            <w:tcW w:type="dxa" w:w="1944"/>
            <w:vAlign w:val="center"/>
            <w:tcMar>
              <w:top w:w="30" w:type="dxa"/>
              <w:left w:w="70" w:type="dxa"/>
              <w:bottom w:w="30" w:type="dxa"/>
              <w:right w:w="70" w:type="dxa"/>
            </w:tcMar>
          </w:tcPr>
          <w:p>
            <w:pPr>
              <w:spacing w:before="0" w:after="0" w:line="200" w:lineRule="exact"/>
            </w:pPr>
            <w:r/>
            <w:r>
              <w:rPr>
                <w:rFonts w:ascii="Arial" w:hAnsi="Arial" w:cs="Arial" w:eastAsia="Arial"/>
                <w:b/>
                <w:i w:val="0"/>
                <w:color w:val="222A27"/>
                <w:sz w:val="16"/>
              </w:rPr>
              <w:t>Incubation</w:t>
            </w:r>
          </w:p>
        </w:tc>
        <w:tc>
          <w:tcPr>
            <w:tcW w:type="dxa" w:w="4104"/>
            <w:vAlign w:val="center"/>
            <w:tcMar>
              <w:top w:w="30" w:type="dxa"/>
              <w:left w:w="70" w:type="dxa"/>
              <w:bottom w:w="30" w:type="dxa"/>
              <w:right w:w="70" w:type="dxa"/>
            </w:tcMar>
          </w:tcPr>
          <w:p>
            <w:pPr>
              <w:spacing w:before="0" w:after="0" w:line="200" w:lineRule="exact"/>
            </w:pPr>
            <w:r/>
            <w:r>
              <w:rPr>
                <w:rFonts w:ascii="Arial" w:hAnsi="Arial" w:cs="Arial" w:eastAsia="Arial"/>
                <w:b w:val="0"/>
                <w:i w:val="0"/>
                <w:color w:val="222A27"/>
                <w:sz w:val="16"/>
              </w:rPr>
              <w:t>25 teams, 10 weeks</w:t>
            </w:r>
          </w:p>
        </w:tc>
        <w:tc>
          <w:tcPr>
            <w:tcW w:type="dxa" w:w="4608"/>
            <w:vAlign w:val="center"/>
            <w:tcMar>
              <w:top w:w="30" w:type="dxa"/>
              <w:left w:w="70" w:type="dxa"/>
              <w:bottom w:w="30" w:type="dxa"/>
              <w:right w:w="70" w:type="dxa"/>
            </w:tcMar>
          </w:tcPr>
          <w:p>
            <w:pPr>
              <w:spacing w:before="0" w:after="0" w:line="200" w:lineRule="exact"/>
            </w:pPr>
            <w:r/>
            <w:r>
              <w:rPr>
                <w:rFonts w:ascii="Arial" w:hAnsi="Arial" w:cs="Arial" w:eastAsia="Arial"/>
                <w:b w:val="0"/>
                <w:i w:val="0"/>
                <w:color w:val="222A27"/>
                <w:sz w:val="16"/>
              </w:rPr>
              <w:t>Sustainability Lab and Telesto</w:t>
            </w:r>
          </w:p>
        </w:tc>
      </w:tr>
      <w:tr>
        <w:trPr>
          <w:cantSplit/>
        </w:trPr>
        <w:tc>
          <w:tcPr>
            <w:tcW w:type="dxa" w:w="1944"/>
            <w:vAlign w:val="center"/>
            <w:tcMar>
              <w:top w:w="30" w:type="dxa"/>
              <w:left w:w="70" w:type="dxa"/>
              <w:bottom w:w="30" w:type="dxa"/>
              <w:right w:w="70" w:type="dxa"/>
            </w:tcMar>
          </w:tcPr>
          <w:p>
            <w:pPr>
              <w:spacing w:before="0" w:after="0" w:line="200" w:lineRule="exact"/>
            </w:pPr>
            <w:r/>
            <w:r>
              <w:rPr>
                <w:rFonts w:ascii="Arial" w:hAnsi="Arial" w:cs="Arial" w:eastAsia="Arial"/>
                <w:b/>
                <w:i w:val="0"/>
                <w:color w:val="222A27"/>
                <w:sz w:val="16"/>
              </w:rPr>
              <w:t>Acceleration</w:t>
            </w:r>
          </w:p>
        </w:tc>
        <w:tc>
          <w:tcPr>
            <w:tcW w:type="dxa" w:w="4104"/>
            <w:vAlign w:val="center"/>
            <w:tcMar>
              <w:top w:w="30" w:type="dxa"/>
              <w:left w:w="70" w:type="dxa"/>
              <w:bottom w:w="30" w:type="dxa"/>
              <w:right w:w="70" w:type="dxa"/>
            </w:tcMar>
          </w:tcPr>
          <w:p>
            <w:pPr>
              <w:spacing w:before="0" w:after="0" w:line="200" w:lineRule="exact"/>
            </w:pPr>
            <w:r/>
            <w:r>
              <w:rPr>
                <w:rFonts w:ascii="Arial" w:hAnsi="Arial" w:cs="Arial" w:eastAsia="Arial"/>
                <w:b w:val="0"/>
                <w:i w:val="0"/>
                <w:color w:val="222A27"/>
                <w:sz w:val="16"/>
              </w:rPr>
              <w:t>10 teams, 12 weeks</w:t>
            </w:r>
          </w:p>
        </w:tc>
        <w:tc>
          <w:tcPr>
            <w:tcW w:type="dxa" w:w="4608"/>
            <w:vAlign w:val="center"/>
            <w:tcMar>
              <w:top w:w="30" w:type="dxa"/>
              <w:left w:w="70" w:type="dxa"/>
              <w:bottom w:w="30" w:type="dxa"/>
              <w:right w:w="70" w:type="dxa"/>
            </w:tcMar>
          </w:tcPr>
          <w:p>
            <w:pPr>
              <w:spacing w:before="0" w:after="0" w:line="200" w:lineRule="exact"/>
            </w:pPr>
            <w:r/>
            <w:r>
              <w:rPr>
                <w:rFonts w:ascii="Arial" w:hAnsi="Arial" w:cs="Arial" w:eastAsia="Arial"/>
                <w:b w:val="0"/>
                <w:i w:val="0"/>
                <w:color w:val="222A27"/>
                <w:sz w:val="16"/>
              </w:rPr>
              <w:t>CCE Climate Tech Accelerator</w:t>
            </w:r>
          </w:p>
        </w:tc>
      </w:tr>
      <w:tr>
        <w:trPr>
          <w:cantSplit/>
        </w:trPr>
        <w:tc>
          <w:tcPr>
            <w:tcW w:type="dxa" w:w="1944"/>
            <w:vAlign w:val="center"/>
            <w:tcMar>
              <w:top w:w="30" w:type="dxa"/>
              <w:left w:w="70" w:type="dxa"/>
              <w:bottom w:w="30" w:type="dxa"/>
              <w:right w:w="70" w:type="dxa"/>
            </w:tcMar>
          </w:tcPr>
          <w:p>
            <w:pPr>
              <w:spacing w:before="0" w:after="0" w:line="200" w:lineRule="exact"/>
            </w:pPr>
            <w:r/>
            <w:r>
              <w:rPr>
                <w:rFonts w:ascii="Arial" w:hAnsi="Arial" w:cs="Arial" w:eastAsia="Arial"/>
                <w:b/>
                <w:i w:val="0"/>
                <w:color w:val="222A27"/>
                <w:sz w:val="16"/>
              </w:rPr>
              <w:t>Growth</w:t>
            </w:r>
          </w:p>
        </w:tc>
        <w:tc>
          <w:tcPr>
            <w:tcW w:type="dxa" w:w="4104"/>
            <w:vAlign w:val="center"/>
            <w:tcMar>
              <w:top w:w="30" w:type="dxa"/>
              <w:left w:w="70" w:type="dxa"/>
              <w:bottom w:w="30" w:type="dxa"/>
              <w:right w:w="70" w:type="dxa"/>
            </w:tcMar>
          </w:tcPr>
          <w:p>
            <w:pPr>
              <w:spacing w:before="0" w:after="0" w:line="200" w:lineRule="exact"/>
            </w:pPr>
            <w:r/>
            <w:r>
              <w:rPr>
                <w:rFonts w:ascii="Arial" w:hAnsi="Arial" w:cs="Arial" w:eastAsia="Arial"/>
                <w:b w:val="0"/>
                <w:i w:val="0"/>
                <w:color w:val="222A27"/>
                <w:sz w:val="16"/>
              </w:rPr>
              <w:t>4 teams, 12 weeks, investor connections</w:t>
            </w:r>
          </w:p>
        </w:tc>
        <w:tc>
          <w:tcPr>
            <w:tcW w:type="dxa" w:w="4608"/>
            <w:vAlign w:val="center"/>
            <w:tcMar>
              <w:top w:w="30" w:type="dxa"/>
              <w:left w:w="70" w:type="dxa"/>
              <w:bottom w:w="30" w:type="dxa"/>
              <w:right w:w="70" w:type="dxa"/>
            </w:tcMar>
          </w:tcPr>
          <w:p>
            <w:pPr>
              <w:spacing w:before="0" w:after="0" w:line="200" w:lineRule="exact"/>
            </w:pPr>
            <w:r/>
            <w:r>
              <w:rPr>
                <w:rFonts w:ascii="Arial" w:hAnsi="Arial" w:cs="Arial" w:eastAsia="Arial"/>
                <w:b w:val="0"/>
                <w:i w:val="0"/>
                <w:color w:val="222A27"/>
                <w:sz w:val="16"/>
              </w:rPr>
              <w:t>FOSD and PVBLIC / UNGA</w:t>
            </w:r>
          </w:p>
        </w:tc>
      </w:tr>
      <w:tr>
        <w:trPr>
          <w:cantSplit/>
        </w:trPr>
        <w:tc>
          <w:tcPr>
            <w:tcW w:type="dxa" w:w="1944"/>
            <w:vAlign w:val="center"/>
            <w:tcMar>
              <w:top w:w="30" w:type="dxa"/>
              <w:left w:w="70" w:type="dxa"/>
              <w:bottom w:w="30" w:type="dxa"/>
              <w:right w:w="70" w:type="dxa"/>
            </w:tcMar>
          </w:tcPr>
          <w:p>
            <w:pPr>
              <w:spacing w:before="0" w:after="0" w:line="200" w:lineRule="exact"/>
            </w:pPr>
            <w:r/>
            <w:r>
              <w:rPr>
                <w:rFonts w:ascii="Arial" w:hAnsi="Arial" w:cs="Arial" w:eastAsia="Arial"/>
                <w:b/>
                <w:i w:val="0"/>
                <w:color w:val="222A27"/>
                <w:sz w:val="16"/>
              </w:rPr>
              <w:t>Hub operations</w:t>
            </w:r>
          </w:p>
        </w:tc>
        <w:tc>
          <w:tcPr>
            <w:tcW w:type="dxa" w:w="4104"/>
            <w:vAlign w:val="center"/>
            <w:tcMar>
              <w:top w:w="30" w:type="dxa"/>
              <w:left w:w="70" w:type="dxa"/>
              <w:bottom w:w="30" w:type="dxa"/>
              <w:right w:w="70" w:type="dxa"/>
            </w:tcMar>
          </w:tcPr>
          <w:p>
            <w:pPr>
              <w:spacing w:before="0" w:after="0" w:line="200" w:lineRule="exact"/>
            </w:pPr>
            <w:r/>
            <w:r>
              <w:rPr>
                <w:rFonts w:ascii="Arial" w:hAnsi="Arial" w:cs="Arial" w:eastAsia="Arial"/>
                <w:b w:val="0"/>
                <w:i w:val="0"/>
                <w:color w:val="222A27"/>
                <w:sz w:val="16"/>
              </w:rPr>
            </w:r>
          </w:p>
        </w:tc>
        <w:tc>
          <w:tcPr>
            <w:tcW w:type="dxa" w:w="4608"/>
            <w:vAlign w:val="center"/>
            <w:tcMar>
              <w:top w:w="30" w:type="dxa"/>
              <w:left w:w="70" w:type="dxa"/>
              <w:bottom w:w="30" w:type="dxa"/>
              <w:right w:w="70" w:type="dxa"/>
            </w:tcMar>
          </w:tcPr>
          <w:p>
            <w:pPr>
              <w:spacing w:before="0" w:after="0" w:line="200" w:lineRule="exact"/>
            </w:pPr>
            <w:r/>
            <w:r>
              <w:rPr>
                <w:rFonts w:ascii="Arial" w:hAnsi="Arial" w:cs="Arial" w:eastAsia="Arial"/>
                <w:b w:val="0"/>
                <w:i w:val="0"/>
                <w:color w:val="222A27"/>
                <w:sz w:val="16"/>
              </w:rPr>
              <w:t>Campus, TEC staff</w:t>
            </w:r>
          </w:p>
        </w:tc>
      </w:tr>
    </w:tbl>
    <w:p>
      <w:pPr>
        <w:keepNext/>
        <w:spacing w:before="140" w:after="20" w:line="280" w:lineRule="exact"/>
      </w:pPr>
      <w:r>
        <w:rPr>
          <w:rFonts w:ascii="Arial" w:hAnsi="Arial" w:cs="Arial" w:eastAsia="Arial"/>
          <w:b/>
          <w:i w:val="0"/>
          <w:color w:val="335D4F"/>
          <w:sz w:val="24"/>
        </w:rPr>
        <w:t>2. Cost Structure</w:t>
      </w:r>
    </w:p>
    <w:p>
      <w:pPr>
        <w:spacing w:before="0" w:after="40" w:line="260" w:lineRule="exact"/>
      </w:pPr>
      <w:r>
        <w:rPr>
          <w:rFonts w:ascii="Georgia" w:hAnsi="Georgia" w:cs="Georgia" w:eastAsia="Georgia"/>
          <w:b w:val="0"/>
          <w:i w:val="0"/>
          <w:color w:val="222A27"/>
          <w:sz w:val="20"/>
        </w:rPr>
        <w:t>These assets reduce cost and risk. They do not replace cash.</w:t>
      </w:r>
    </w:p>
    <w:p>
      <w:pPr>
        <w:spacing w:before="0" w:after="60" w:line="260" w:lineRule="exact"/>
      </w:pPr>
      <w:r>
        <w:rPr>
          <w:rFonts w:ascii="Georgia" w:hAnsi="Georgia" w:cs="Georgia" w:eastAsia="Georgia"/>
          <w:b w:val="0"/>
          <w:i w:val="0"/>
          <w:color w:val="222A27"/>
          <w:sz w:val="20"/>
        </w:rPr>
        <w:t>External cash follows a three-year sliding scale. Year 1 is the full funnel, plus setup and integration.</w:t>
      </w:r>
    </w:p>
    <w:tbl>
      <w:tblPr>
        <w:tblW w:type="dxa" w:w="10656"/>
        <w:tblLayout w:type="fixed"/>
        <w:tblLook w:firstColumn="1" w:firstRow="1" w:lastColumn="0" w:lastRow="0" w:noHBand="0" w:noVBand="1" w:val="04A0"/>
        <w:tblBorders>
          <w:top w:val="single" w:sz="4" w:space="0" w:color="C5D5CE"/>
          <w:left w:val="single" w:sz="4" w:space="0" w:color="C5D5CE"/>
          <w:bottom w:val="single" w:sz="4" w:space="0" w:color="C5D5CE"/>
          <w:right w:val="single" w:sz="4" w:space="0" w:color="C5D5CE"/>
          <w:insideH w:val="single" w:sz="4" w:space="0" w:color="C5D5CE"/>
          <w:insideV w:val="single" w:sz="4" w:space="0" w:color="C5D5CE"/>
        </w:tblBorders>
      </w:tblPr>
      <w:tblGrid>
        <w:gridCol w:w="1655"/>
        <w:gridCol w:w="2088"/>
        <w:gridCol w:w="6912"/>
      </w:tblGrid>
      <w:tr>
        <w:trPr>
          <w:cantSplit/>
        </w:trPr>
        <w:tc>
          <w:tcPr>
            <w:tcW w:type="dxa" w:w="1655"/>
            <w:shd w:val="clear" w:color="auto" w:fill="335D4F"/>
            <w:vAlign w:val="center"/>
            <w:tcMar>
              <w:top w:w="30" w:type="dxa"/>
              <w:left w:w="70" w:type="dxa"/>
              <w:bottom w:w="30" w:type="dxa"/>
              <w:right w:w="70" w:type="dxa"/>
            </w:tcMar>
          </w:tcPr>
          <w:p>
            <w:pPr>
              <w:spacing w:before="0" w:after="0" w:line="200" w:lineRule="exact"/>
            </w:pPr>
            <w:r/>
            <w:r>
              <w:rPr>
                <w:rFonts w:ascii="Arial" w:hAnsi="Arial" w:cs="Arial" w:eastAsia="Arial"/>
                <w:b/>
                <w:i w:val="0"/>
                <w:color w:val="FFFFFF"/>
                <w:sz w:val="16"/>
              </w:rPr>
              <w:t>Year</w:t>
            </w:r>
          </w:p>
        </w:tc>
        <w:tc>
          <w:tcPr>
            <w:tcW w:type="dxa" w:w="2088"/>
            <w:shd w:val="clear" w:color="auto" w:fill="335D4F"/>
            <w:vAlign w:val="center"/>
            <w:tcMar>
              <w:top w:w="30" w:type="dxa"/>
              <w:left w:w="70" w:type="dxa"/>
              <w:bottom w:w="30" w:type="dxa"/>
              <w:right w:w="70" w:type="dxa"/>
            </w:tcMar>
          </w:tcPr>
          <w:p>
            <w:pPr>
              <w:spacing w:before="0" w:after="0" w:line="200" w:lineRule="exact"/>
            </w:pPr>
            <w:r/>
            <w:r>
              <w:rPr>
                <w:rFonts w:ascii="Arial" w:hAnsi="Arial" w:cs="Arial" w:eastAsia="Arial"/>
                <w:b/>
                <w:i w:val="0"/>
                <w:color w:val="FFFFFF"/>
                <w:sz w:val="16"/>
              </w:rPr>
              <w:t>External cash</w:t>
            </w:r>
          </w:p>
        </w:tc>
        <w:tc>
          <w:tcPr>
            <w:tcW w:type="dxa" w:w="6912"/>
            <w:shd w:val="clear" w:color="auto" w:fill="335D4F"/>
            <w:vAlign w:val="center"/>
            <w:tcMar>
              <w:top w:w="30" w:type="dxa"/>
              <w:left w:w="70" w:type="dxa"/>
              <w:bottom w:w="30" w:type="dxa"/>
              <w:right w:w="70" w:type="dxa"/>
            </w:tcMar>
          </w:tcPr>
          <w:p>
            <w:pPr>
              <w:spacing w:before="0" w:after="0" w:line="200" w:lineRule="exact"/>
            </w:pPr>
            <w:r/>
            <w:r>
              <w:rPr>
                <w:rFonts w:ascii="Arial" w:hAnsi="Arial" w:cs="Arial" w:eastAsia="Arial"/>
                <w:b/>
                <w:i w:val="0"/>
                <w:color w:val="FFFFFF"/>
                <w:sz w:val="16"/>
              </w:rPr>
              <w:t>Level, Year 1 = full bar</w:t>
            </w:r>
          </w:p>
        </w:tc>
      </w:tr>
      <w:tr>
        <w:trPr>
          <w:cantSplit/>
        </w:trPr>
        <w:tc>
          <w:tcPr>
            <w:tcW w:type="dxa" w:w="1655"/>
            <w:vAlign w:val="center"/>
            <w:tcMar>
              <w:top w:w="30" w:type="dxa"/>
              <w:left w:w="70" w:type="dxa"/>
              <w:bottom w:w="30" w:type="dxa"/>
              <w:right w:w="70" w:type="dxa"/>
            </w:tcMar>
          </w:tcPr>
          <w:p>
            <w:pPr>
              <w:spacing w:before="0" w:after="0" w:line="200" w:lineRule="exact"/>
            </w:pPr>
            <w:r/>
            <w:r>
              <w:rPr>
                <w:rFonts w:ascii="Arial" w:hAnsi="Arial" w:cs="Arial" w:eastAsia="Arial"/>
                <w:b/>
                <w:i w:val="0"/>
                <w:color w:val="222A27"/>
                <w:sz w:val="16"/>
              </w:rPr>
              <w:t>Year 1</w:t>
            </w:r>
          </w:p>
        </w:tc>
        <w:tc>
          <w:tcPr>
            <w:tcW w:type="dxa" w:w="2088"/>
            <w:vAlign w:val="center"/>
            <w:tcMar>
              <w:top w:w="30" w:type="dxa"/>
              <w:left w:w="70" w:type="dxa"/>
              <w:bottom w:w="30" w:type="dxa"/>
              <w:right w:w="70" w:type="dxa"/>
            </w:tcMar>
          </w:tcPr>
          <w:p>
            <w:pPr>
              <w:spacing w:before="0" w:after="0" w:line="200" w:lineRule="exact"/>
            </w:pPr>
            <w:r/>
            <w:r>
              <w:rPr>
                <w:rFonts w:ascii="Arial" w:hAnsi="Arial" w:cs="Arial" w:eastAsia="Arial"/>
                <w:b/>
                <w:i w:val="0"/>
                <w:color w:val="222A27"/>
                <w:sz w:val="16"/>
              </w:rPr>
              <w:t>US$103,000</w:t>
            </w:r>
          </w:p>
        </w:tc>
        <w:tc>
          <w:tcPr>
            <w:tcW w:type="dxa" w:w="6912"/>
            <w:shd w:val="clear" w:color="auto" w:fill="E3ECE8"/>
            <w:vAlign w:val="center"/>
            <w:tcMar>
              <w:top w:w="36" w:type="dxa"/>
              <w:left w:w="50" w:type="dxa"/>
              <w:bottom w:w="36" w:type="dxa"/>
              <w:right w:w="50" w:type="dxa"/>
            </w:tcMar>
          </w:tcPr>
          <w:p>
            <w:pPr>
              <w:spacing w:before="0" w:after="0" w:line="40" w:lineRule="exact"/>
            </w:pPr>
            <w:r/>
          </w:p>
          <w:tbl>
            <w:tblPr>
              <w:tblW w:type="dxa" w:w="4536"/>
              <w:tblLayout w:type="fixed"/>
              <w:tblLook w:firstColumn="1" w:firstRow="1" w:lastColumn="0" w:lastRow="0" w:noHBand="0" w:noVBand="1" w:val="04A0"/>
              <w:tblBorders>
                <w:top w:val="nil"/>
                <w:left w:val="nil"/>
                <w:bottom w:val="nil"/>
                <w:right w:val="nil"/>
                <w:insideH w:val="nil"/>
                <w:insideV w:val="nil"/>
              </w:tblBorders>
            </w:tblPr>
            <w:tblGrid>
              <w:gridCol w:w="4536"/>
            </w:tblGrid>
            <w:tr>
              <w:trPr>
                <w:cantSplit/>
              </w:trPr>
              <w:tc>
                <w:tcPr>
                  <w:tcW w:type="dxa" w:w="4536"/>
                  <w:shd w:val="clear" w:color="auto" w:fill="335D4F"/>
                  <w:tcMar>
                    <w:top w:w="0" w:type="dxa"/>
                    <w:left w:w="0" w:type="dxa"/>
                    <w:bottom w:w="0" w:type="dxa"/>
                    <w:right w:w="0" w:type="dxa"/>
                  </w:tcMar>
                </w:tcPr>
                <w:p>
                  <w:pPr>
                    <w:spacing w:before="0" w:after="0" w:line="160" w:lineRule="exact"/>
                  </w:pPr>
                  <w:r/>
                  <w:r>
                    <w:rPr>
                      <w:rFonts w:ascii="Arial" w:hAnsi="Arial" w:cs="Arial" w:eastAsia="Arial"/>
                      <w:b w:val="0"/>
                      <w:i w:val="0"/>
                      <w:color w:val="FFFFFF"/>
                      <w:sz w:val="8"/>
                    </w:rPr>
                    <w:t xml:space="preserve"> </w:t>
                  </w:r>
                </w:p>
              </w:tc>
            </w:tr>
          </w:tbl>
          <w:p>
            <w:pPr>
              <w:spacing w:before="0" w:after="0" w:line="40" w:lineRule="exact"/>
            </w:pPr>
          </w:p>
        </w:tc>
      </w:tr>
      <w:tr>
        <w:trPr>
          <w:cantSplit/>
        </w:trPr>
        <w:tc>
          <w:tcPr>
            <w:tcW w:type="dxa" w:w="1655"/>
            <w:vAlign w:val="center"/>
            <w:tcMar>
              <w:top w:w="30" w:type="dxa"/>
              <w:left w:w="70" w:type="dxa"/>
              <w:bottom w:w="30" w:type="dxa"/>
              <w:right w:w="70" w:type="dxa"/>
            </w:tcMar>
          </w:tcPr>
          <w:p>
            <w:pPr>
              <w:spacing w:before="0" w:after="0" w:line="200" w:lineRule="exact"/>
            </w:pPr>
            <w:r/>
            <w:r>
              <w:rPr>
                <w:rFonts w:ascii="Arial" w:hAnsi="Arial" w:cs="Arial" w:eastAsia="Arial"/>
                <w:b/>
                <w:i w:val="0"/>
                <w:color w:val="222A27"/>
                <w:sz w:val="16"/>
              </w:rPr>
              <w:t>Year 2</w:t>
            </w:r>
          </w:p>
        </w:tc>
        <w:tc>
          <w:tcPr>
            <w:tcW w:type="dxa" w:w="2088"/>
            <w:vAlign w:val="center"/>
            <w:tcMar>
              <w:top w:w="30" w:type="dxa"/>
              <w:left w:w="70" w:type="dxa"/>
              <w:bottom w:w="30" w:type="dxa"/>
              <w:right w:w="70" w:type="dxa"/>
            </w:tcMar>
          </w:tcPr>
          <w:p>
            <w:pPr>
              <w:spacing w:before="0" w:after="0" w:line="200" w:lineRule="exact"/>
            </w:pPr>
            <w:r/>
            <w:r>
              <w:rPr>
                <w:rFonts w:ascii="Arial" w:hAnsi="Arial" w:cs="Arial" w:eastAsia="Arial"/>
                <w:b/>
                <w:i w:val="0"/>
                <w:color w:val="222A27"/>
                <w:sz w:val="16"/>
              </w:rPr>
              <w:t>US$75,000</w:t>
            </w:r>
          </w:p>
        </w:tc>
        <w:tc>
          <w:tcPr>
            <w:tcW w:type="dxa" w:w="6912"/>
            <w:shd w:val="clear" w:color="auto" w:fill="E3ECE8"/>
            <w:vAlign w:val="center"/>
            <w:tcMar>
              <w:top w:w="36" w:type="dxa"/>
              <w:left w:w="50" w:type="dxa"/>
              <w:bottom w:w="36" w:type="dxa"/>
              <w:right w:w="50" w:type="dxa"/>
            </w:tcMar>
          </w:tcPr>
          <w:p>
            <w:pPr>
              <w:spacing w:before="0" w:after="0" w:line="40" w:lineRule="exact"/>
            </w:pPr>
            <w:r/>
          </w:p>
          <w:tbl>
            <w:tblPr>
              <w:tblW w:type="dxa" w:w="3302"/>
              <w:tblLayout w:type="fixed"/>
              <w:tblLook w:firstColumn="1" w:firstRow="1" w:lastColumn="0" w:lastRow="0" w:noHBand="0" w:noVBand="1" w:val="04A0"/>
              <w:tblBorders>
                <w:top w:val="nil"/>
                <w:left w:val="nil"/>
                <w:bottom w:val="nil"/>
                <w:right w:val="nil"/>
                <w:insideH w:val="nil"/>
                <w:insideV w:val="nil"/>
              </w:tblBorders>
            </w:tblPr>
            <w:tblGrid>
              <w:gridCol w:w="3302"/>
            </w:tblGrid>
            <w:tr>
              <w:trPr>
                <w:cantSplit/>
              </w:trPr>
              <w:tc>
                <w:tcPr>
                  <w:tcW w:type="dxa" w:w="3302"/>
                  <w:shd w:val="clear" w:color="auto" w:fill="335D4F"/>
                  <w:tcMar>
                    <w:top w:w="0" w:type="dxa"/>
                    <w:left w:w="0" w:type="dxa"/>
                    <w:bottom w:w="0" w:type="dxa"/>
                    <w:right w:w="0" w:type="dxa"/>
                  </w:tcMar>
                </w:tcPr>
                <w:p>
                  <w:pPr>
                    <w:spacing w:before="0" w:after="0" w:line="160" w:lineRule="exact"/>
                  </w:pPr>
                  <w:r/>
                  <w:r>
                    <w:rPr>
                      <w:rFonts w:ascii="Arial" w:hAnsi="Arial" w:cs="Arial" w:eastAsia="Arial"/>
                      <w:b w:val="0"/>
                      <w:i w:val="0"/>
                      <w:color w:val="FFFFFF"/>
                      <w:sz w:val="8"/>
                    </w:rPr>
                    <w:t xml:space="preserve"> </w:t>
                  </w:r>
                </w:p>
              </w:tc>
            </w:tr>
          </w:tbl>
          <w:p>
            <w:pPr>
              <w:spacing w:before="0" w:after="0" w:line="40" w:lineRule="exact"/>
            </w:pPr>
          </w:p>
        </w:tc>
      </w:tr>
      <w:tr>
        <w:trPr>
          <w:cantSplit/>
        </w:trPr>
        <w:tc>
          <w:tcPr>
            <w:tcW w:type="dxa" w:w="1655"/>
            <w:vAlign w:val="center"/>
            <w:tcMar>
              <w:top w:w="30" w:type="dxa"/>
              <w:left w:w="70" w:type="dxa"/>
              <w:bottom w:w="30" w:type="dxa"/>
              <w:right w:w="70" w:type="dxa"/>
            </w:tcMar>
          </w:tcPr>
          <w:p>
            <w:pPr>
              <w:spacing w:before="0" w:after="0" w:line="200" w:lineRule="exact"/>
            </w:pPr>
            <w:r/>
            <w:r>
              <w:rPr>
                <w:rFonts w:ascii="Arial" w:hAnsi="Arial" w:cs="Arial" w:eastAsia="Arial"/>
                <w:b/>
                <w:i w:val="0"/>
                <w:color w:val="222A27"/>
                <w:sz w:val="16"/>
              </w:rPr>
              <w:t>Year 3</w:t>
            </w:r>
          </w:p>
        </w:tc>
        <w:tc>
          <w:tcPr>
            <w:tcW w:type="dxa" w:w="2088"/>
            <w:vAlign w:val="center"/>
            <w:tcMar>
              <w:top w:w="30" w:type="dxa"/>
              <w:left w:w="70" w:type="dxa"/>
              <w:bottom w:w="30" w:type="dxa"/>
              <w:right w:w="70" w:type="dxa"/>
            </w:tcMar>
          </w:tcPr>
          <w:p>
            <w:pPr>
              <w:spacing w:before="0" w:after="0" w:line="200" w:lineRule="exact"/>
            </w:pPr>
            <w:r/>
            <w:r>
              <w:rPr>
                <w:rFonts w:ascii="Arial" w:hAnsi="Arial" w:cs="Arial" w:eastAsia="Arial"/>
                <w:b/>
                <w:i w:val="0"/>
                <w:color w:val="222A27"/>
                <w:sz w:val="16"/>
              </w:rPr>
              <w:t>US$50,000</w:t>
            </w:r>
          </w:p>
        </w:tc>
        <w:tc>
          <w:tcPr>
            <w:tcW w:type="dxa" w:w="6912"/>
            <w:shd w:val="clear" w:color="auto" w:fill="E3ECE8"/>
            <w:vAlign w:val="center"/>
            <w:tcMar>
              <w:top w:w="36" w:type="dxa"/>
              <w:left w:w="50" w:type="dxa"/>
              <w:bottom w:w="36" w:type="dxa"/>
              <w:right w:w="50" w:type="dxa"/>
            </w:tcMar>
          </w:tcPr>
          <w:p>
            <w:pPr>
              <w:spacing w:before="0" w:after="0" w:line="40" w:lineRule="exact"/>
            </w:pPr>
            <w:r/>
          </w:p>
          <w:tbl>
            <w:tblPr>
              <w:tblW w:type="dxa" w:w="2201"/>
              <w:tblLayout w:type="fixed"/>
              <w:tblLook w:firstColumn="1" w:firstRow="1" w:lastColumn="0" w:lastRow="0" w:noHBand="0" w:noVBand="1" w:val="04A0"/>
              <w:tblBorders>
                <w:top w:val="nil"/>
                <w:left w:val="nil"/>
                <w:bottom w:val="nil"/>
                <w:right w:val="nil"/>
                <w:insideH w:val="nil"/>
                <w:insideV w:val="nil"/>
              </w:tblBorders>
            </w:tblPr>
            <w:tblGrid>
              <w:gridCol w:w="2201"/>
            </w:tblGrid>
            <w:tr>
              <w:trPr>
                <w:cantSplit/>
              </w:trPr>
              <w:tc>
                <w:tcPr>
                  <w:tcW w:type="dxa" w:w="2201"/>
                  <w:shd w:val="clear" w:color="auto" w:fill="335D4F"/>
                  <w:tcMar>
                    <w:top w:w="0" w:type="dxa"/>
                    <w:left w:w="0" w:type="dxa"/>
                    <w:bottom w:w="0" w:type="dxa"/>
                    <w:right w:w="0" w:type="dxa"/>
                  </w:tcMar>
                </w:tcPr>
                <w:p>
                  <w:pPr>
                    <w:spacing w:before="0" w:after="0" w:line="160" w:lineRule="exact"/>
                  </w:pPr>
                  <w:r/>
                  <w:r>
                    <w:rPr>
                      <w:rFonts w:ascii="Arial" w:hAnsi="Arial" w:cs="Arial" w:eastAsia="Arial"/>
                      <w:b w:val="0"/>
                      <w:i w:val="0"/>
                      <w:color w:val="FFFFFF"/>
                      <w:sz w:val="8"/>
                    </w:rPr>
                    <w:t xml:space="preserve"> </w:t>
                  </w:r>
                </w:p>
              </w:tc>
            </w:tr>
          </w:tbl>
          <w:p>
            <w:pPr>
              <w:spacing w:before="0" w:after="0" w:line="40" w:lineRule="exact"/>
            </w:pPr>
          </w:p>
        </w:tc>
      </w:tr>
      <w:tr>
        <w:trPr>
          <w:cantSplit/>
        </w:trPr>
        <w:tc>
          <w:tcPr>
            <w:tcW w:type="dxa" w:w="1655"/>
            <w:shd w:val="clear" w:color="auto" w:fill="FF6633"/>
            <w:vAlign w:val="center"/>
            <w:tcMar>
              <w:top w:w="30" w:type="dxa"/>
              <w:left w:w="70" w:type="dxa"/>
              <w:bottom w:w="30" w:type="dxa"/>
              <w:right w:w="70" w:type="dxa"/>
            </w:tcMar>
          </w:tcPr>
          <w:p>
            <w:pPr>
              <w:spacing w:before="0" w:after="0" w:line="200" w:lineRule="exact"/>
            </w:pPr>
            <w:r/>
            <w:r>
              <w:rPr>
                <w:rFonts w:ascii="Arial" w:hAnsi="Arial" w:cs="Arial" w:eastAsia="Arial"/>
                <w:b/>
                <w:i w:val="0"/>
                <w:color w:val="FFFFFF"/>
                <w:sz w:val="16"/>
              </w:rPr>
              <w:t>3-year total</w:t>
            </w:r>
          </w:p>
        </w:tc>
        <w:tc>
          <w:tcPr>
            <w:tcW w:type="dxa" w:w="2088"/>
            <w:shd w:val="clear" w:color="auto" w:fill="FF6633"/>
            <w:vAlign w:val="center"/>
            <w:tcMar>
              <w:top w:w="30" w:type="dxa"/>
              <w:left w:w="70" w:type="dxa"/>
              <w:bottom w:w="30" w:type="dxa"/>
              <w:right w:w="70" w:type="dxa"/>
            </w:tcMar>
          </w:tcPr>
          <w:p>
            <w:pPr>
              <w:spacing w:before="0" w:after="0" w:line="200" w:lineRule="exact"/>
            </w:pPr>
            <w:r/>
            <w:r>
              <w:rPr>
                <w:rFonts w:ascii="Arial" w:hAnsi="Arial" w:cs="Arial" w:eastAsia="Arial"/>
                <w:b/>
                <w:i w:val="0"/>
                <w:color w:val="FFFFFF"/>
                <w:sz w:val="16"/>
              </w:rPr>
              <w:t>US$228,000</w:t>
            </w:r>
          </w:p>
        </w:tc>
        <w:tc>
          <w:tcPr>
            <w:tcW w:type="dxa" w:w="6912"/>
            <w:shd w:val="clear" w:color="auto" w:fill="FF6633"/>
            <w:vAlign w:val="center"/>
            <w:tcMar>
              <w:top w:w="30" w:type="dxa"/>
              <w:left w:w="70" w:type="dxa"/>
              <w:bottom w:w="30" w:type="dxa"/>
              <w:right w:w="70" w:type="dxa"/>
            </w:tcMar>
          </w:tcPr>
          <w:p>
            <w:pPr>
              <w:spacing w:before="0" w:after="0" w:line="200" w:lineRule="exact"/>
            </w:pPr>
            <w:r/>
            <w:r>
              <w:rPr>
                <w:rFonts w:ascii="Arial" w:hAnsi="Arial" w:cs="Arial" w:eastAsia="Arial"/>
                <w:b/>
                <w:i w:val="0"/>
                <w:color w:val="FFFFFF"/>
                <w:sz w:val="16"/>
              </w:rPr>
              <w:t>Sum of the three years</w:t>
            </w:r>
          </w:p>
        </w:tc>
      </w:tr>
    </w:tbl>
    <w:p>
      <w:pPr>
        <w:spacing w:before="60" w:after="40" w:line="260" w:lineRule="exact"/>
      </w:pPr>
      <w:r>
        <w:rPr>
          <w:rFonts w:ascii="Georgia" w:hAnsi="Georgia" w:cs="Georgia" w:eastAsia="Georgia"/>
          <w:b w:val="0"/>
          <w:i w:val="0"/>
          <w:color w:val="222A27"/>
          <w:sz w:val="20"/>
        </w:rPr>
        <w:t>Year 1 split: programs US$75,000, comms and hub maintenance US$8,000, and operations and integration US$20,000.</w:t>
      </w:r>
    </w:p>
    <w:p>
      <w:pPr>
        <w:spacing w:before="0" w:after="40" w:line="260" w:lineRule="exact"/>
      </w:pPr>
      <w:r>
        <w:rPr>
          <w:rFonts w:ascii="Georgia" w:hAnsi="Georgia" w:cs="Georgia" w:eastAsia="Georgia"/>
          <w:b w:val="0"/>
          <w:i w:val="0"/>
          <w:color w:val="222A27"/>
          <w:sz w:val="20"/>
        </w:rPr>
        <w:t>External need falls about 50% by Year 3, as ACity takes on delivery and local sponsors come in.</w:t>
      </w:r>
    </w:p>
    <w:p>
      <w:r>
        <w:br w:type="page"/>
      </w:r>
    </w:p>
    <w:p>
      <w:pPr>
        <w:keepNext/>
        <w:spacing w:before="0" w:after="20" w:line="280" w:lineRule="exact"/>
      </w:pPr>
      <w:r>
        <w:rPr>
          <w:rFonts w:ascii="Arial" w:hAnsi="Arial" w:cs="Arial" w:eastAsia="Arial"/>
          <w:b/>
          <w:i w:val="0"/>
          <w:color w:val="335D4F"/>
          <w:sz w:val="24"/>
        </w:rPr>
        <w:t>3. Timeline</w:t>
      </w:r>
    </w:p>
    <w:p>
      <w:pPr>
        <w:spacing w:before="0" w:after="40" w:line="220" w:lineRule="exact"/>
      </w:pPr>
      <w:r>
        <w:rPr>
          <w:rFonts w:ascii="Georgia" w:hAnsi="Georgia" w:cs="Georgia" w:eastAsia="Georgia"/>
          <w:b w:val="0"/>
          <w:i w:val="0"/>
          <w:color w:val="222A27"/>
          <w:sz w:val="18"/>
        </w:rPr>
        <w:t>Gideon has confirmed the Q1 2027 launch: January 2027 is the design month, February 2027 is on-site training, and March 2027 is the start of Incubation. Ideation (4 weeks) sits inside February with that training, so it still comes before Incubation. That February placement is an assumption. Acceleration (12 weeks) and Growth (12 weeks) follow in sequence.</w:t>
      </w:r>
    </w:p>
    <w:tbl>
      <w:tblPr>
        <w:tblW w:type="dxa" w:w="10656"/>
        <w:tblLayout w:type="fixed"/>
        <w:tblLook w:firstColumn="1" w:firstRow="1" w:lastColumn="0" w:lastRow="0" w:noHBand="0" w:noVBand="1" w:val="04A0"/>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blGrid>
        <w:gridCol w:w="2131"/>
        <w:gridCol w:w="2131"/>
        <w:gridCol w:w="2131"/>
        <w:gridCol w:w="2131"/>
        <w:gridCol w:w="2131"/>
      </w:tblGrid>
      <w:tr>
        <w:trPr>
          <w:cantSplit/>
        </w:trPr>
        <w:tc>
          <w:tcPr>
            <w:tcW w:type="dxa" w:w="2131"/>
            <w:shd w:val="clear" w:color="auto" w:fill="1B4332"/>
            <w:vAlign w:val="center"/>
            <w:tcMar>
              <w:top w:w="26" w:type="dxa"/>
              <w:left w:w="40" w:type="dxa"/>
              <w:bottom w:w="26" w:type="dxa"/>
              <w:right w:w="40" w:type="dxa"/>
            </w:tcMar>
          </w:tcPr>
          <w:p>
            <w:pPr>
              <w:spacing w:before="0" w:after="0" w:line="180" w:lineRule="exact"/>
              <w:jc w:val="center"/>
            </w:pPr>
            <w:r/>
            <w:r>
              <w:rPr>
                <w:rFonts w:ascii="Arial" w:hAnsi="Arial" w:cs="Arial" w:eastAsia="Arial"/>
                <w:b/>
                <w:i w:val="0"/>
                <w:color w:val="FFFFFF"/>
                <w:sz w:val="15"/>
              </w:rPr>
              <w:t>Jan 2027</w:t>
            </w:r>
            <w:r>
              <w:br/>
            </w:r>
            <w:r>
              <w:rPr>
                <w:rFonts w:ascii="Arial" w:hAnsi="Arial" w:cs="Arial" w:eastAsia="Arial"/>
                <w:b w:val="0"/>
                <w:i w:val="0"/>
                <w:color w:val="FFFFFF"/>
                <w:sz w:val="15"/>
              </w:rPr>
              <w:t>Design month</w:t>
            </w:r>
          </w:p>
        </w:tc>
        <w:tc>
          <w:tcPr>
            <w:tcW w:type="dxa" w:w="2131"/>
            <w:shd w:val="clear" w:color="auto" w:fill="335D4F"/>
            <w:vAlign w:val="center"/>
            <w:tcMar>
              <w:top w:w="26" w:type="dxa"/>
              <w:left w:w="40" w:type="dxa"/>
              <w:bottom w:w="26" w:type="dxa"/>
              <w:right w:w="40" w:type="dxa"/>
            </w:tcMar>
          </w:tcPr>
          <w:p>
            <w:pPr>
              <w:spacing w:before="0" w:after="0" w:line="180" w:lineRule="exact"/>
              <w:jc w:val="center"/>
            </w:pPr>
            <w:r/>
            <w:r>
              <w:rPr>
                <w:rFonts w:ascii="Arial" w:hAnsi="Arial" w:cs="Arial" w:eastAsia="Arial"/>
                <w:b/>
                <w:i w:val="0"/>
                <w:color w:val="FFFFFF"/>
                <w:sz w:val="15"/>
              </w:rPr>
              <w:t>Feb 2027</w:t>
            </w:r>
            <w:r>
              <w:br/>
            </w:r>
            <w:r>
              <w:rPr>
                <w:rFonts w:ascii="Arial" w:hAnsi="Arial" w:cs="Arial" w:eastAsia="Arial"/>
                <w:b w:val="0"/>
                <w:i w:val="0"/>
                <w:color w:val="FFFFFF"/>
                <w:sz w:val="15"/>
              </w:rPr>
              <w:t>On-site training</w:t>
            </w:r>
            <w:r>
              <w:br/>
            </w:r>
            <w:r>
              <w:rPr>
                <w:rFonts w:ascii="Arial" w:hAnsi="Arial" w:cs="Arial" w:eastAsia="Arial"/>
                <w:b w:val="0"/>
                <w:i w:val="0"/>
                <w:color w:val="FFFFFF"/>
                <w:sz w:val="15"/>
              </w:rPr>
              <w:t>Ideation, 4 weeks</w:t>
            </w:r>
            <w:r>
              <w:br/>
            </w:r>
            <w:r>
              <w:rPr>
                <w:rFonts w:ascii="Arial" w:hAnsi="Arial" w:cs="Arial" w:eastAsia="Arial"/>
                <w:b/>
                <w:i w:val="0"/>
                <w:color w:val="FFFFFF"/>
                <w:sz w:val="15"/>
              </w:rPr>
              <w:t>Assumption</w:t>
            </w:r>
          </w:p>
        </w:tc>
        <w:tc>
          <w:tcPr>
            <w:tcW w:type="dxa" w:w="2131"/>
            <w:shd w:val="clear" w:color="auto" w:fill="335D4F"/>
            <w:vAlign w:val="center"/>
            <w:tcMar>
              <w:top w:w="26" w:type="dxa"/>
              <w:left w:w="40" w:type="dxa"/>
              <w:bottom w:w="26" w:type="dxa"/>
              <w:right w:w="40" w:type="dxa"/>
            </w:tcMar>
          </w:tcPr>
          <w:p>
            <w:pPr>
              <w:spacing w:before="0" w:after="0" w:line="180" w:lineRule="exact"/>
              <w:jc w:val="center"/>
            </w:pPr>
            <w:r/>
            <w:r>
              <w:rPr>
                <w:rFonts w:ascii="Arial" w:hAnsi="Arial" w:cs="Arial" w:eastAsia="Arial"/>
                <w:b/>
                <w:i w:val="0"/>
                <w:color w:val="FFFFFF"/>
                <w:sz w:val="15"/>
              </w:rPr>
              <w:t>Mar 2027</w:t>
            </w:r>
            <w:r>
              <w:br/>
            </w:r>
            <w:r>
              <w:rPr>
                <w:rFonts w:ascii="Arial" w:hAnsi="Arial" w:cs="Arial" w:eastAsia="Arial"/>
                <w:b w:val="0"/>
                <w:i w:val="0"/>
                <w:color w:val="FFFFFF"/>
                <w:sz w:val="15"/>
              </w:rPr>
              <w:t>Incubation starts</w:t>
            </w:r>
            <w:r>
              <w:br/>
            </w:r>
            <w:r>
              <w:rPr>
                <w:rFonts w:ascii="Arial" w:hAnsi="Arial" w:cs="Arial" w:eastAsia="Arial"/>
                <w:b w:val="0"/>
                <w:i w:val="0"/>
                <w:color w:val="FFFFFF"/>
                <w:sz w:val="15"/>
              </w:rPr>
              <w:t>10 weeks</w:t>
            </w:r>
          </w:p>
        </w:tc>
        <w:tc>
          <w:tcPr>
            <w:tcW w:type="dxa" w:w="2131"/>
            <w:shd w:val="clear" w:color="auto" w:fill="3E6B58"/>
            <w:vAlign w:val="center"/>
            <w:tcMar>
              <w:top w:w="26" w:type="dxa"/>
              <w:left w:w="40" w:type="dxa"/>
              <w:bottom w:w="26" w:type="dxa"/>
              <w:right w:w="40" w:type="dxa"/>
            </w:tcMar>
          </w:tcPr>
          <w:p>
            <w:pPr>
              <w:spacing w:before="0" w:after="0" w:line="180" w:lineRule="exact"/>
              <w:jc w:val="center"/>
            </w:pPr>
            <w:r/>
            <w:r>
              <w:rPr>
                <w:rFonts w:ascii="Arial" w:hAnsi="Arial" w:cs="Arial" w:eastAsia="Arial"/>
                <w:b/>
                <w:i w:val="0"/>
                <w:color w:val="FFFFFF"/>
                <w:sz w:val="15"/>
              </w:rPr>
              <w:t>Then</w:t>
            </w:r>
            <w:r>
              <w:br/>
            </w:r>
            <w:r>
              <w:rPr>
                <w:rFonts w:ascii="Arial" w:hAnsi="Arial" w:cs="Arial" w:eastAsia="Arial"/>
                <w:b w:val="0"/>
                <w:i w:val="0"/>
                <w:color w:val="FFFFFF"/>
                <w:sz w:val="15"/>
              </w:rPr>
              <w:t>Acceleration</w:t>
            </w:r>
            <w:r>
              <w:br/>
            </w:r>
            <w:r>
              <w:rPr>
                <w:rFonts w:ascii="Arial" w:hAnsi="Arial" w:cs="Arial" w:eastAsia="Arial"/>
                <w:b w:val="0"/>
                <w:i w:val="0"/>
                <w:color w:val="FFFFFF"/>
                <w:sz w:val="15"/>
              </w:rPr>
              <w:t>12 weeks</w:t>
            </w:r>
          </w:p>
        </w:tc>
        <w:tc>
          <w:tcPr>
            <w:tcW w:type="dxa" w:w="2131"/>
            <w:shd w:val="clear" w:color="auto" w:fill="FF6633"/>
            <w:vAlign w:val="center"/>
            <w:tcMar>
              <w:top w:w="26" w:type="dxa"/>
              <w:left w:w="40" w:type="dxa"/>
              <w:bottom w:w="26" w:type="dxa"/>
              <w:right w:w="40" w:type="dxa"/>
            </w:tcMar>
          </w:tcPr>
          <w:p>
            <w:pPr>
              <w:spacing w:before="0" w:after="0" w:line="180" w:lineRule="exact"/>
              <w:jc w:val="center"/>
            </w:pPr>
            <w:r/>
            <w:r>
              <w:rPr>
                <w:rFonts w:ascii="Arial" w:hAnsi="Arial" w:cs="Arial" w:eastAsia="Arial"/>
                <w:b/>
                <w:i w:val="0"/>
                <w:color w:val="FFFFFF"/>
                <w:sz w:val="15"/>
              </w:rPr>
              <w:t>Then</w:t>
            </w:r>
            <w:r>
              <w:br/>
            </w:r>
            <w:r>
              <w:rPr>
                <w:rFonts w:ascii="Arial" w:hAnsi="Arial" w:cs="Arial" w:eastAsia="Arial"/>
                <w:b w:val="0"/>
                <w:i w:val="0"/>
                <w:color w:val="FFFFFF"/>
                <w:sz w:val="15"/>
              </w:rPr>
              <w:t>Growth</w:t>
            </w:r>
            <w:r>
              <w:br/>
            </w:r>
            <w:r>
              <w:rPr>
                <w:rFonts w:ascii="Arial" w:hAnsi="Arial" w:cs="Arial" w:eastAsia="Arial"/>
                <w:b w:val="0"/>
                <w:i w:val="0"/>
                <w:color w:val="FFFFFF"/>
                <w:sz w:val="15"/>
              </w:rPr>
              <w:t>12 weeks</w:t>
            </w:r>
          </w:p>
        </w:tc>
      </w:tr>
    </w:tbl>
    <w:tbl>
      <w:tblPr>
        <w:tblW w:type="dxa" w:w="10656"/>
        <w:tblLayout w:type="fixed"/>
        <w:tblLook w:firstColumn="1" w:firstRow="1" w:lastColumn="0" w:lastRow="0" w:noHBand="0" w:noVBand="1" w:val="04A0"/>
        <w:tblBorders>
          <w:top w:val="single" w:sz="4" w:space="0" w:color="335D4F"/>
          <w:left w:val="single" w:sz="4" w:space="0" w:color="335D4F"/>
          <w:bottom w:val="single" w:sz="4" w:space="0" w:color="335D4F"/>
          <w:right w:val="single" w:sz="4" w:space="0" w:color="335D4F"/>
          <w:insideH w:val="single" w:sz="4" w:space="0" w:color="335D4F"/>
          <w:insideV w:val="single" w:sz="4" w:space="0" w:color="335D4F"/>
        </w:tblBorders>
      </w:tblPr>
      <w:tblGrid>
        <w:gridCol w:w="2131"/>
        <w:gridCol w:w="2131"/>
        <w:gridCol w:w="2131"/>
        <w:gridCol w:w="2131"/>
        <w:gridCol w:w="2131"/>
      </w:tblGrid>
      <w:tr>
        <w:trPr>
          <w:cantSplit/>
        </w:trPr>
        <w:tc>
          <w:tcPr>
            <w:tcW w:type="dxa" w:w="2131"/>
            <w:shd w:val="clear" w:color="auto" w:fill="335D4F"/>
            <w:vAlign w:val="center"/>
            <w:tcMar>
              <w:top w:w="26" w:type="dxa"/>
              <w:left w:w="40" w:type="dxa"/>
              <w:bottom w:w="26" w:type="dxa"/>
              <w:right w:w="40" w:type="dxa"/>
            </w:tcMar>
          </w:tcPr>
          <w:p>
            <w:pPr>
              <w:spacing w:before="0" w:after="0" w:line="180" w:lineRule="exact"/>
              <w:jc w:val="center"/>
            </w:pPr>
            <w:r/>
            <w:r>
              <w:rPr>
                <w:rFonts w:ascii="Arial" w:hAnsi="Arial" w:cs="Arial" w:eastAsia="Arial"/>
                <w:b/>
                <w:i w:val="0"/>
                <w:color w:val="FFFFFF"/>
                <w:sz w:val="15"/>
              </w:rPr>
              <w:t>21 Oct 2026</w:t>
            </w:r>
            <w:r>
              <w:br/>
            </w:r>
            <w:r>
              <w:rPr>
                <w:rFonts w:ascii="Arial" w:hAnsi="Arial" w:cs="Arial" w:eastAsia="Arial"/>
                <w:b w:val="0"/>
                <w:i w:val="0"/>
                <w:color w:val="FFFFFF"/>
                <w:sz w:val="15"/>
              </w:rPr>
              <w:t>Meeting with Pav</w:t>
            </w:r>
          </w:p>
        </w:tc>
        <w:tc>
          <w:tcPr>
            <w:tcW w:type="dxa" w:w="2131"/>
            <w:shd w:val="clear" w:color="auto" w:fill="FF6633"/>
            <w:vAlign w:val="center"/>
            <w:tcMar>
              <w:top w:w="26" w:type="dxa"/>
              <w:left w:w="40" w:type="dxa"/>
              <w:bottom w:w="26" w:type="dxa"/>
              <w:right w:w="40" w:type="dxa"/>
            </w:tcMar>
          </w:tcPr>
          <w:p>
            <w:pPr>
              <w:spacing w:before="0" w:after="0" w:line="170" w:lineRule="exact"/>
              <w:jc w:val="center"/>
            </w:pPr>
            <w:r/>
            <w:r>
              <w:rPr>
                <w:rFonts w:ascii="Arial" w:hAnsi="Arial" w:cs="Arial" w:eastAsia="Arial"/>
                <w:b/>
                <w:i w:val="0"/>
                <w:color w:val="FFFFFF"/>
                <w:sz w:val="14"/>
              </w:rPr>
              <w:t>1 Dec 2026</w:t>
            </w:r>
            <w:r>
              <w:br/>
            </w:r>
            <w:r>
              <w:rPr>
                <w:rFonts w:ascii="Arial" w:hAnsi="Arial" w:cs="Arial" w:eastAsia="Arial"/>
                <w:b w:val="0"/>
                <w:i w:val="0"/>
                <w:color w:val="FFFFFF"/>
                <w:sz w:val="14"/>
              </w:rPr>
              <w:t>Agreement and</w:t>
            </w:r>
            <w:r>
              <w:br/>
            </w:r>
            <w:r>
              <w:rPr>
                <w:rFonts w:ascii="Arial" w:hAnsi="Arial" w:cs="Arial" w:eastAsia="Arial"/>
                <w:b w:val="0"/>
                <w:i w:val="0"/>
                <w:color w:val="FFFFFF"/>
                <w:sz w:val="14"/>
              </w:rPr>
              <w:t>Year 1 funding</w:t>
            </w:r>
            <w:r>
              <w:br/>
            </w:r>
            <w:r>
              <w:rPr>
                <w:rFonts w:ascii="Arial" w:hAnsi="Arial" w:cs="Arial" w:eastAsia="Arial"/>
                <w:b/>
                <w:i w:val="0"/>
                <w:color w:val="FFFFFF"/>
                <w:sz w:val="14"/>
              </w:rPr>
              <w:t>TO CONFIRM</w:t>
            </w:r>
          </w:p>
        </w:tc>
        <w:tc>
          <w:tcPr>
            <w:tcW w:type="dxa" w:w="2131"/>
            <w:shd w:val="clear" w:color="auto" w:fill="335D4F"/>
            <w:vAlign w:val="center"/>
            <w:tcMar>
              <w:top w:w="26" w:type="dxa"/>
              <w:left w:w="40" w:type="dxa"/>
              <w:bottom w:w="26" w:type="dxa"/>
              <w:right w:w="40" w:type="dxa"/>
            </w:tcMar>
          </w:tcPr>
          <w:p>
            <w:pPr>
              <w:spacing w:before="0" w:after="0" w:line="170" w:lineRule="exact"/>
              <w:jc w:val="center"/>
            </w:pPr>
            <w:r/>
            <w:r>
              <w:rPr>
                <w:rFonts w:ascii="Arial" w:hAnsi="Arial" w:cs="Arial" w:eastAsia="Arial"/>
                <w:b/>
                <w:i w:val="0"/>
                <w:color w:val="FFFFFF"/>
                <w:sz w:val="14"/>
              </w:rPr>
              <w:t>Sept 2027</w:t>
            </w:r>
            <w:r>
              <w:br/>
            </w:r>
            <w:r>
              <w:rPr>
                <w:rFonts w:ascii="Arial" w:hAnsi="Arial" w:cs="Arial" w:eastAsia="Arial"/>
                <w:b w:val="0"/>
                <w:i w:val="0"/>
                <w:color w:val="FFFFFF"/>
                <w:sz w:val="14"/>
              </w:rPr>
              <w:t>UNGA82 and</w:t>
            </w:r>
            <w:r>
              <w:br/>
            </w:r>
            <w:r>
              <w:rPr>
                <w:rFonts w:ascii="Arial" w:hAnsi="Arial" w:cs="Arial" w:eastAsia="Arial"/>
                <w:b w:val="0"/>
                <w:i w:val="0"/>
                <w:color w:val="FFFFFF"/>
                <w:sz w:val="14"/>
              </w:rPr>
              <w:t>Climate Week NYC</w:t>
            </w:r>
            <w:r>
              <w:br/>
            </w:r>
            <w:r>
              <w:rPr>
                <w:rFonts w:ascii="Arial" w:hAnsi="Arial" w:cs="Arial" w:eastAsia="Arial"/>
                <w:b/>
                <w:i w:val="0"/>
                <w:color w:val="FFFFFF"/>
                <w:sz w:val="14"/>
              </w:rPr>
              <w:t>Team slots TO CONFIRM</w:t>
            </w:r>
          </w:p>
        </w:tc>
        <w:tc>
          <w:tcPr>
            <w:tcW w:type="dxa" w:w="2131"/>
            <w:shd w:val="clear" w:color="auto" w:fill="FF6633"/>
            <w:vAlign w:val="center"/>
            <w:tcMar>
              <w:top w:w="26" w:type="dxa"/>
              <w:left w:w="40" w:type="dxa"/>
              <w:bottom w:w="26" w:type="dxa"/>
              <w:right w:w="40" w:type="dxa"/>
            </w:tcMar>
          </w:tcPr>
          <w:p>
            <w:pPr>
              <w:spacing w:before="0" w:after="0" w:line="180" w:lineRule="exact"/>
              <w:jc w:val="center"/>
            </w:pPr>
            <w:r/>
            <w:r>
              <w:rPr>
                <w:rFonts w:ascii="Arial" w:hAnsi="Arial" w:cs="Arial" w:eastAsia="Arial"/>
                <w:b/>
                <w:i w:val="0"/>
                <w:color w:val="FFFFFF"/>
                <w:sz w:val="15"/>
              </w:rPr>
              <w:t>2028</w:t>
            </w:r>
            <w:r>
              <w:br/>
            </w:r>
            <w:r>
              <w:rPr>
                <w:rFonts w:ascii="Arial" w:hAnsi="Arial" w:cs="Arial" w:eastAsia="Arial"/>
                <w:b w:val="0"/>
                <w:i w:val="0"/>
                <w:color w:val="FFFFFF"/>
                <w:sz w:val="15"/>
              </w:rPr>
              <w:t>Year 2</w:t>
            </w:r>
            <w:r>
              <w:br/>
            </w:r>
            <w:r>
              <w:rPr>
                <w:rFonts w:ascii="Arial" w:hAnsi="Arial" w:cs="Arial" w:eastAsia="Arial"/>
                <w:b w:val="0"/>
                <w:i w:val="0"/>
                <w:color w:val="FFFFFF"/>
                <w:sz w:val="15"/>
              </w:rPr>
              <w:t>US$75,000</w:t>
            </w:r>
            <w:r>
              <w:br/>
            </w:r>
            <w:r>
              <w:rPr>
                <w:rFonts w:ascii="Arial" w:hAnsi="Arial" w:cs="Arial" w:eastAsia="Arial"/>
                <w:b/>
                <w:i w:val="0"/>
                <w:color w:val="FFFFFF"/>
                <w:sz w:val="15"/>
              </w:rPr>
              <w:t>TO CONFIRM</w:t>
            </w:r>
          </w:p>
        </w:tc>
        <w:tc>
          <w:tcPr>
            <w:tcW w:type="dxa" w:w="2131"/>
            <w:shd w:val="clear" w:color="auto" w:fill="FF6633"/>
            <w:vAlign w:val="center"/>
            <w:tcMar>
              <w:top w:w="26" w:type="dxa"/>
              <w:left w:w="40" w:type="dxa"/>
              <w:bottom w:w="26" w:type="dxa"/>
              <w:right w:w="40" w:type="dxa"/>
            </w:tcMar>
          </w:tcPr>
          <w:p>
            <w:pPr>
              <w:spacing w:before="0" w:after="0" w:line="180" w:lineRule="exact"/>
              <w:jc w:val="center"/>
            </w:pPr>
            <w:r/>
            <w:r>
              <w:rPr>
                <w:rFonts w:ascii="Arial" w:hAnsi="Arial" w:cs="Arial" w:eastAsia="Arial"/>
                <w:b/>
                <w:i w:val="0"/>
                <w:color w:val="FFFFFF"/>
                <w:sz w:val="15"/>
              </w:rPr>
              <w:t>2029</w:t>
            </w:r>
            <w:r>
              <w:br/>
            </w:r>
            <w:r>
              <w:rPr>
                <w:rFonts w:ascii="Arial" w:hAnsi="Arial" w:cs="Arial" w:eastAsia="Arial"/>
                <w:b w:val="0"/>
                <w:i w:val="0"/>
                <w:color w:val="FFFFFF"/>
                <w:sz w:val="15"/>
              </w:rPr>
              <w:t>Year 3</w:t>
            </w:r>
            <w:r>
              <w:br/>
            </w:r>
            <w:r>
              <w:rPr>
                <w:rFonts w:ascii="Arial" w:hAnsi="Arial" w:cs="Arial" w:eastAsia="Arial"/>
                <w:b w:val="0"/>
                <w:i w:val="0"/>
                <w:color w:val="FFFFFF"/>
                <w:sz w:val="15"/>
              </w:rPr>
              <w:t>US$50,000</w:t>
            </w:r>
            <w:r>
              <w:br/>
            </w:r>
            <w:r>
              <w:rPr>
                <w:rFonts w:ascii="Arial" w:hAnsi="Arial" w:cs="Arial" w:eastAsia="Arial"/>
                <w:b/>
                <w:i w:val="0"/>
                <w:color w:val="FFFFFF"/>
                <w:sz w:val="15"/>
              </w:rPr>
              <w:t>TO CONFIRM</w:t>
            </w:r>
          </w:p>
        </w:tc>
      </w:tr>
    </w:tbl>
    <w:p>
      <w:pPr>
        <w:spacing w:before="40" w:after="20" w:line="210" w:lineRule="exact"/>
      </w:pPr>
      <w:r>
        <w:rPr>
          <w:rFonts w:ascii="Georgia" w:hAnsi="Georgia" w:cs="Georgia" w:eastAsia="Georgia"/>
          <w:b w:val="0"/>
          <w:i w:val="0"/>
          <w:color w:val="222A27"/>
          <w:sz w:val="17"/>
        </w:rPr>
        <w:t>UNGA82 opens 7 September 2027. The general debate opens 21 September 2027 (UN schedule). Climate Week NYC is the same month. Exact Climate Week dates are TO CONFIRM. The REIN plan is an SDG Media Zone slot for 2 incubation winners and 2 growth teams. That slot is TO CONFIRM.</w:t>
      </w:r>
    </w:p>
    <w:p>
      <w:pPr>
        <w:keepNext/>
        <w:spacing w:before="80" w:after="20" w:line="280" w:lineRule="exact"/>
      </w:pPr>
      <w:r>
        <w:rPr>
          <w:rFonts w:ascii="Arial" w:hAnsi="Arial" w:cs="Arial" w:eastAsia="Arial"/>
          <w:b/>
          <w:i w:val="0"/>
          <w:color w:val="335D4F"/>
          <w:sz w:val="24"/>
        </w:rPr>
        <w:t>4. Top 5 donors in Ghana</w:t>
      </w:r>
    </w:p>
    <w:p>
      <w:pPr>
        <w:spacing w:before="0" w:after="40" w:line="210" w:lineRule="exact"/>
      </w:pPr>
      <w:r>
        <w:rPr>
          <w:rFonts w:ascii="Georgia" w:hAnsi="Georgia" w:cs="Georgia" w:eastAsia="Georgia"/>
          <w:b w:val="0"/>
          <w:i w:val="0"/>
          <w:color w:val="222A27"/>
          <w:sz w:val="17"/>
        </w:rPr>
        <w:t>Ranked for a university-hosted climate-startup hub that needs a multi-year grant of US$500,000 to US$1 million. Ticket sizes are copied from the public source. Anything not in that source is marked UNVERIFIED.</w:t>
      </w:r>
    </w:p>
    <w:tbl>
      <w:tblPr>
        <w:tblW w:type="dxa" w:w="10656"/>
        <w:tblLayout w:type="fixed"/>
        <w:tblLook w:firstColumn="1" w:firstRow="1" w:lastColumn="0" w:lastRow="0" w:noHBand="0" w:noVBand="1" w:val="04A0"/>
        <w:tblBorders>
          <w:top w:val="single" w:sz="4" w:space="0" w:color="C5D5CE"/>
          <w:left w:val="single" w:sz="4" w:space="0" w:color="C5D5CE"/>
          <w:bottom w:val="single" w:sz="4" w:space="0" w:color="C5D5CE"/>
          <w:right w:val="single" w:sz="4" w:space="0" w:color="C5D5CE"/>
          <w:insideH w:val="single" w:sz="4" w:space="0" w:color="C5D5CE"/>
          <w:insideV w:val="single" w:sz="4" w:space="0" w:color="C5D5CE"/>
        </w:tblBorders>
      </w:tblPr>
      <w:tblGrid>
        <w:gridCol w:w="1655"/>
        <w:gridCol w:w="2232"/>
        <w:gridCol w:w="2448"/>
        <w:gridCol w:w="2448"/>
        <w:gridCol w:w="1872"/>
      </w:tblGrid>
      <w:tr>
        <w:trPr>
          <w:cantSplit/>
        </w:trPr>
        <w:tc>
          <w:tcPr>
            <w:tcW w:type="dxa" w:w="1655"/>
            <w:shd w:val="clear" w:color="auto" w:fill="335D4F"/>
            <w:vAlign w:val="center"/>
            <w:tcMar>
              <w:top w:w="30" w:type="dxa"/>
              <w:left w:w="70" w:type="dxa"/>
              <w:bottom w:w="30" w:type="dxa"/>
              <w:right w:w="70" w:type="dxa"/>
            </w:tcMar>
          </w:tcPr>
          <w:p>
            <w:pPr>
              <w:spacing w:before="0" w:after="0" w:line="180" w:lineRule="exact"/>
            </w:pPr>
            <w:r/>
            <w:r>
              <w:rPr>
                <w:rFonts w:ascii="Arial" w:hAnsi="Arial" w:cs="Arial" w:eastAsia="Arial"/>
                <w:b/>
                <w:i w:val="0"/>
                <w:color w:val="FFFFFF"/>
                <w:sz w:val="14"/>
              </w:rPr>
              <w:t>Donor</w:t>
            </w:r>
          </w:p>
        </w:tc>
        <w:tc>
          <w:tcPr>
            <w:tcW w:type="dxa" w:w="2232"/>
            <w:shd w:val="clear" w:color="auto" w:fill="335D4F"/>
            <w:vAlign w:val="center"/>
            <w:tcMar>
              <w:top w:w="30" w:type="dxa"/>
              <w:left w:w="70" w:type="dxa"/>
              <w:bottom w:w="30" w:type="dxa"/>
              <w:right w:w="70" w:type="dxa"/>
            </w:tcMar>
          </w:tcPr>
          <w:p>
            <w:pPr>
              <w:spacing w:before="0" w:after="0" w:line="180" w:lineRule="exact"/>
            </w:pPr>
            <w:r/>
            <w:r>
              <w:rPr>
                <w:rFonts w:ascii="Arial" w:hAnsi="Arial" w:cs="Arial" w:eastAsia="Arial"/>
                <w:b/>
                <w:i w:val="0"/>
                <w:color w:val="FFFFFF"/>
                <w:sz w:val="14"/>
              </w:rPr>
              <w:t>Programme</w:t>
            </w:r>
          </w:p>
        </w:tc>
        <w:tc>
          <w:tcPr>
            <w:tcW w:type="dxa" w:w="2448"/>
            <w:shd w:val="clear" w:color="auto" w:fill="335D4F"/>
            <w:vAlign w:val="center"/>
            <w:tcMar>
              <w:top w:w="30" w:type="dxa"/>
              <w:left w:w="70" w:type="dxa"/>
              <w:bottom w:w="30" w:type="dxa"/>
              <w:right w:w="70" w:type="dxa"/>
            </w:tcMar>
          </w:tcPr>
          <w:p>
            <w:pPr>
              <w:spacing w:before="0" w:after="0" w:line="180" w:lineRule="exact"/>
            </w:pPr>
            <w:r/>
            <w:r>
              <w:rPr>
                <w:rFonts w:ascii="Arial" w:hAnsi="Arial" w:cs="Arial" w:eastAsia="Arial"/>
                <w:b/>
                <w:i w:val="0"/>
                <w:color w:val="FFFFFF"/>
                <w:sz w:val="14"/>
              </w:rPr>
              <w:t>Ticket, sourced</w:t>
            </w:r>
          </w:p>
        </w:tc>
        <w:tc>
          <w:tcPr>
            <w:tcW w:type="dxa" w:w="2448"/>
            <w:shd w:val="clear" w:color="auto" w:fill="335D4F"/>
            <w:vAlign w:val="center"/>
            <w:tcMar>
              <w:top w:w="30" w:type="dxa"/>
              <w:left w:w="70" w:type="dxa"/>
              <w:bottom w:w="30" w:type="dxa"/>
              <w:right w:w="70" w:type="dxa"/>
            </w:tcMar>
          </w:tcPr>
          <w:p>
            <w:pPr>
              <w:spacing w:before="0" w:after="0" w:line="180" w:lineRule="exact"/>
            </w:pPr>
            <w:r/>
            <w:r>
              <w:rPr>
                <w:rFonts w:ascii="Arial" w:hAnsi="Arial" w:cs="Arial" w:eastAsia="Arial"/>
                <w:b/>
                <w:i w:val="0"/>
                <w:color w:val="FFFFFF"/>
                <w:sz w:val="14"/>
              </w:rPr>
              <w:t>Why it fits</w:t>
            </w:r>
          </w:p>
        </w:tc>
        <w:tc>
          <w:tcPr>
            <w:tcW w:type="dxa" w:w="1872"/>
            <w:shd w:val="clear" w:color="auto" w:fill="335D4F"/>
            <w:vAlign w:val="center"/>
            <w:tcMar>
              <w:top w:w="30" w:type="dxa"/>
              <w:left w:w="70" w:type="dxa"/>
              <w:bottom w:w="30" w:type="dxa"/>
              <w:right w:w="70" w:type="dxa"/>
            </w:tcMar>
          </w:tcPr>
          <w:p>
            <w:pPr>
              <w:spacing w:before="0" w:after="0" w:line="180" w:lineRule="exact"/>
            </w:pPr>
            <w:r/>
            <w:r>
              <w:rPr>
                <w:rFonts w:ascii="Arial" w:hAnsi="Arial" w:cs="Arial" w:eastAsia="Arial"/>
                <w:b/>
                <w:i w:val="0"/>
                <w:color w:val="FFFFFF"/>
                <w:sz w:val="14"/>
              </w:rPr>
              <w:t>Source</w:t>
            </w:r>
          </w:p>
        </w:tc>
      </w:tr>
      <w:tr>
        <w:trPr>
          <w:cantSplit/>
        </w:trPr>
        <w:tc>
          <w:tcPr>
            <w:tcW w:type="dxa" w:w="1655"/>
            <w:vAlign w:val="center"/>
            <w:tcMar>
              <w:top w:w="30" w:type="dxa"/>
              <w:left w:w="70" w:type="dxa"/>
              <w:bottom w:w="30" w:type="dxa"/>
              <w:right w:w="70" w:type="dxa"/>
            </w:tcMar>
          </w:tcPr>
          <w:p>
            <w:pPr>
              <w:spacing w:before="0" w:after="0" w:line="170" w:lineRule="exact"/>
            </w:pPr>
            <w:r/>
            <w:r>
              <w:rPr>
                <w:rFonts w:ascii="Arial" w:hAnsi="Arial" w:cs="Arial" w:eastAsia="Arial"/>
                <w:b/>
                <w:i w:val="0"/>
                <w:color w:val="222A27"/>
                <w:sz w:val="13"/>
              </w:rPr>
              <w:t>1. GIZ / BMZ</w:t>
            </w:r>
          </w:p>
        </w:tc>
        <w:tc>
          <w:tcPr>
            <w:tcW w:type="dxa" w:w="2232"/>
            <w:vAlign w:val="center"/>
            <w:tcMar>
              <w:top w:w="30" w:type="dxa"/>
              <w:left w:w="70" w:type="dxa"/>
              <w:bottom w:w="30" w:type="dxa"/>
              <w:right w:w="70" w:type="dxa"/>
            </w:tcMar>
          </w:tcPr>
          <w:p>
            <w:pPr>
              <w:spacing w:before="0" w:after="0" w:line="170" w:lineRule="exact"/>
            </w:pPr>
            <w:r/>
            <w:r>
              <w:rPr>
                <w:rFonts w:ascii="Arial" w:hAnsi="Arial" w:cs="Arial" w:eastAsia="Arial"/>
                <w:b w:val="0"/>
                <w:i w:val="0"/>
                <w:color w:val="222A27"/>
                <w:sz w:val="13"/>
              </w:rPr>
              <w:t>PFS programme with GCIC at Ashesi University. Green incubation and acceleration.</w:t>
            </w:r>
          </w:p>
        </w:tc>
        <w:tc>
          <w:tcPr>
            <w:tcW w:type="dxa" w:w="2448"/>
            <w:vAlign w:val="center"/>
            <w:tcMar>
              <w:top w:w="30" w:type="dxa"/>
              <w:left w:w="70" w:type="dxa"/>
              <w:bottom w:w="30" w:type="dxa"/>
              <w:right w:w="70" w:type="dxa"/>
            </w:tcMar>
          </w:tcPr>
          <w:p>
            <w:pPr>
              <w:spacing w:before="0" w:after="0" w:line="170" w:lineRule="exact"/>
            </w:pPr>
            <w:r/>
            <w:r>
              <w:rPr>
                <w:rFonts w:ascii="Arial" w:hAnsi="Arial" w:cs="Arial" w:eastAsia="Arial"/>
                <w:b w:val="0"/>
                <w:i w:val="0"/>
                <w:color w:val="222A27"/>
                <w:sz w:val="13"/>
              </w:rPr>
              <w:t>About EUR 1.2 million for the 2024 partnership. Each business can get up to EUR 10,000. Not a US dollar figure.</w:t>
            </w:r>
          </w:p>
        </w:tc>
        <w:tc>
          <w:tcPr>
            <w:tcW w:type="dxa" w:w="2448"/>
            <w:vAlign w:val="center"/>
            <w:tcMar>
              <w:top w:w="30" w:type="dxa"/>
              <w:left w:w="70" w:type="dxa"/>
              <w:bottom w:w="30" w:type="dxa"/>
              <w:right w:w="70" w:type="dxa"/>
            </w:tcMar>
          </w:tcPr>
          <w:p>
            <w:pPr>
              <w:spacing w:before="0" w:after="0" w:line="170" w:lineRule="exact"/>
            </w:pPr>
            <w:r/>
            <w:r>
              <w:rPr>
                <w:rFonts w:ascii="Arial" w:hAnsi="Arial" w:cs="Arial" w:eastAsia="Arial"/>
                <w:b w:val="0"/>
                <w:i w:val="0"/>
                <w:color w:val="222A27"/>
                <w:sz w:val="13"/>
              </w:rPr>
              <w:t>Closest public match: a Ghana university climate incubator, at a size that covers this ask.</w:t>
            </w:r>
          </w:p>
        </w:tc>
        <w:tc>
          <w:tcPr>
            <w:tcW w:type="dxa" w:w="1872"/>
            <w:vAlign w:val="center"/>
            <w:tcMar>
              <w:top w:w="30" w:type="dxa"/>
              <w:left w:w="70" w:type="dxa"/>
              <w:bottom w:w="30" w:type="dxa"/>
              <w:right w:w="70" w:type="dxa"/>
            </w:tcMar>
          </w:tcPr>
          <w:p>
            <w:pPr>
              <w:spacing w:before="0" w:after="0" w:line="170" w:lineRule="exact"/>
            </w:pPr>
            <w:r/>
            <w:r>
              <w:rPr>
                <w:rFonts w:ascii="Arial" w:hAnsi="Arial" w:cs="Arial" w:eastAsia="Arial"/>
                <w:b w:val="0"/>
                <w:i w:val="0"/>
                <w:color w:val="222A27"/>
                <w:sz w:val="13"/>
              </w:rPr>
              <w:t>https://ghanacic.ashesi.edu.gh/giz-partners-with-ashesis-gcic-towards-green-entrepreneurship-development/</w:t>
            </w:r>
          </w:p>
        </w:tc>
      </w:tr>
      <w:tr>
        <w:trPr>
          <w:cantSplit/>
        </w:trPr>
        <w:tc>
          <w:tcPr>
            <w:tcW w:type="dxa" w:w="1655"/>
            <w:vAlign w:val="center"/>
            <w:tcMar>
              <w:top w:w="30" w:type="dxa"/>
              <w:left w:w="70" w:type="dxa"/>
              <w:bottom w:w="30" w:type="dxa"/>
              <w:right w:w="70" w:type="dxa"/>
            </w:tcMar>
          </w:tcPr>
          <w:p>
            <w:pPr>
              <w:spacing w:before="0" w:after="0" w:line="170" w:lineRule="exact"/>
            </w:pPr>
            <w:r/>
            <w:r>
              <w:rPr>
                <w:rFonts w:ascii="Arial" w:hAnsi="Arial" w:cs="Arial" w:eastAsia="Arial"/>
                <w:b/>
                <w:i w:val="0"/>
                <w:color w:val="222A27"/>
                <w:sz w:val="13"/>
              </w:rPr>
              <w:t>2. Global Affairs Canada</w:t>
            </w:r>
          </w:p>
        </w:tc>
        <w:tc>
          <w:tcPr>
            <w:tcW w:type="dxa" w:w="2232"/>
            <w:vAlign w:val="center"/>
            <w:tcMar>
              <w:top w:w="30" w:type="dxa"/>
              <w:left w:w="70" w:type="dxa"/>
              <w:bottom w:w="30" w:type="dxa"/>
              <w:right w:w="70" w:type="dxa"/>
            </w:tcMar>
          </w:tcPr>
          <w:p>
            <w:pPr>
              <w:spacing w:before="0" w:after="0" w:line="170" w:lineRule="exact"/>
            </w:pPr>
            <w:r/>
            <w:r>
              <w:rPr>
                <w:rFonts w:ascii="Arial" w:hAnsi="Arial" w:cs="Arial" w:eastAsia="Arial"/>
                <w:b w:val="0"/>
                <w:i w:val="0"/>
                <w:color w:val="222A27"/>
                <w:sz w:val="13"/>
              </w:rPr>
              <w:t>Supporting the Green Economy of Ghana, through GCIC at Ashesi University.</w:t>
            </w:r>
          </w:p>
        </w:tc>
        <w:tc>
          <w:tcPr>
            <w:tcW w:type="dxa" w:w="2448"/>
            <w:vAlign w:val="center"/>
            <w:tcMar>
              <w:top w:w="30" w:type="dxa"/>
              <w:left w:w="70" w:type="dxa"/>
              <w:bottom w:w="30" w:type="dxa"/>
              <w:right w:w="70" w:type="dxa"/>
            </w:tcMar>
          </w:tcPr>
          <w:p>
            <w:pPr>
              <w:spacing w:before="0" w:after="0" w:line="170" w:lineRule="exact"/>
            </w:pPr>
            <w:r/>
            <w:r>
              <w:rPr>
                <w:rFonts w:ascii="Arial" w:hAnsi="Arial" w:cs="Arial" w:eastAsia="Arial"/>
                <w:b w:val="0"/>
                <w:i w:val="0"/>
                <w:color w:val="222A27"/>
                <w:sz w:val="13"/>
              </w:rPr>
              <w:t>Maximum contribution $10,000,000 on the Canada project browser (Canadian dollars), 23 Aug 2021 to 31 Mar 2026. Larger than this ask. A follow-on is UNVERIFIED.</w:t>
            </w:r>
          </w:p>
        </w:tc>
        <w:tc>
          <w:tcPr>
            <w:tcW w:type="dxa" w:w="2448"/>
            <w:vAlign w:val="center"/>
            <w:tcMar>
              <w:top w:w="30" w:type="dxa"/>
              <w:left w:w="70" w:type="dxa"/>
              <w:bottom w:w="30" w:type="dxa"/>
              <w:right w:w="70" w:type="dxa"/>
            </w:tcMar>
          </w:tcPr>
          <w:p>
            <w:pPr>
              <w:spacing w:before="0" w:after="0" w:line="170" w:lineRule="exact"/>
            </w:pPr>
            <w:r/>
            <w:r>
              <w:rPr>
                <w:rFonts w:ascii="Arial" w:hAnsi="Arial" w:cs="Arial" w:eastAsia="Arial"/>
                <w:b w:val="0"/>
                <w:i w:val="0"/>
                <w:color w:val="222A27"/>
                <w:sz w:val="13"/>
              </w:rPr>
              <w:t>Published multi-year grant to a Ghanaian university for climate entrepreneurship.</w:t>
            </w:r>
          </w:p>
        </w:tc>
        <w:tc>
          <w:tcPr>
            <w:tcW w:type="dxa" w:w="1872"/>
            <w:vAlign w:val="center"/>
            <w:tcMar>
              <w:top w:w="30" w:type="dxa"/>
              <w:left w:w="70" w:type="dxa"/>
              <w:bottom w:w="30" w:type="dxa"/>
              <w:right w:w="70" w:type="dxa"/>
            </w:tcMar>
          </w:tcPr>
          <w:p>
            <w:pPr>
              <w:spacing w:before="0" w:after="0" w:line="170" w:lineRule="exact"/>
            </w:pPr>
            <w:r/>
            <w:r>
              <w:rPr>
                <w:rFonts w:ascii="Arial" w:hAnsi="Arial" w:cs="Arial" w:eastAsia="Arial"/>
                <w:b w:val="0"/>
                <w:i w:val="0"/>
                <w:color w:val="222A27"/>
                <w:sz w:val="13"/>
              </w:rPr>
              <w:t>https://w05.international.gc.ca/projectbrowser-banqueprojets/project-projet/details/p008970001</w:t>
            </w:r>
          </w:p>
        </w:tc>
      </w:tr>
      <w:tr>
        <w:trPr>
          <w:cantSplit/>
        </w:trPr>
        <w:tc>
          <w:tcPr>
            <w:tcW w:type="dxa" w:w="1655"/>
            <w:vAlign w:val="center"/>
            <w:tcMar>
              <w:top w:w="30" w:type="dxa"/>
              <w:left w:w="70" w:type="dxa"/>
              <w:bottom w:w="30" w:type="dxa"/>
              <w:right w:w="70" w:type="dxa"/>
            </w:tcMar>
          </w:tcPr>
          <w:p>
            <w:pPr>
              <w:spacing w:before="0" w:after="0" w:line="170" w:lineRule="exact"/>
            </w:pPr>
            <w:r/>
            <w:r>
              <w:rPr>
                <w:rFonts w:ascii="Arial" w:hAnsi="Arial" w:cs="Arial" w:eastAsia="Arial"/>
                <w:b/>
                <w:i w:val="0"/>
                <w:color w:val="222A27"/>
                <w:sz w:val="13"/>
              </w:rPr>
              <w:t>3. AfDB, YEI MDTF and FAPA</w:t>
            </w:r>
          </w:p>
        </w:tc>
        <w:tc>
          <w:tcPr>
            <w:tcW w:type="dxa" w:w="2232"/>
            <w:vAlign w:val="center"/>
            <w:tcMar>
              <w:top w:w="30" w:type="dxa"/>
              <w:left w:w="70" w:type="dxa"/>
              <w:bottom w:w="30" w:type="dxa"/>
              <w:right w:w="70" w:type="dxa"/>
            </w:tcMar>
          </w:tcPr>
          <w:p>
            <w:pPr>
              <w:spacing w:before="0" w:after="0" w:line="170" w:lineRule="exact"/>
            </w:pPr>
            <w:r/>
            <w:r>
              <w:rPr>
                <w:rFonts w:ascii="Arial" w:hAnsi="Arial" w:cs="Arial" w:eastAsia="Arial"/>
                <w:b w:val="0"/>
                <w:i w:val="0"/>
                <w:color w:val="222A27"/>
                <w:sz w:val="13"/>
              </w:rPr>
              <w:t>MicroGREEN. Green jobs for youth and women in Ghana and Senegal. Implementer: Invest in Africa.</w:t>
            </w:r>
          </w:p>
        </w:tc>
        <w:tc>
          <w:tcPr>
            <w:tcW w:type="dxa" w:w="2448"/>
            <w:vAlign w:val="center"/>
            <w:tcMar>
              <w:top w:w="30" w:type="dxa"/>
              <w:left w:w="70" w:type="dxa"/>
              <w:bottom w:w="30" w:type="dxa"/>
              <w:right w:w="70" w:type="dxa"/>
            </w:tcMar>
          </w:tcPr>
          <w:p>
            <w:pPr>
              <w:spacing w:before="0" w:after="0" w:line="170" w:lineRule="exact"/>
            </w:pPr>
            <w:r/>
            <w:r>
              <w:rPr>
                <w:rFonts w:ascii="Arial" w:hAnsi="Arial" w:cs="Arial" w:eastAsia="Arial"/>
                <w:b w:val="0"/>
                <w:i w:val="0"/>
                <w:color w:val="222A27"/>
                <w:sz w:val="13"/>
              </w:rPr>
              <w:t>US$850,000 FAPA grant (11 Aug 2025), plus an initial US$1 million YEI MDTF commitment. Ghana and Senegal share the project.</w:t>
            </w:r>
          </w:p>
        </w:tc>
        <w:tc>
          <w:tcPr>
            <w:tcW w:type="dxa" w:w="2448"/>
            <w:vAlign w:val="center"/>
            <w:tcMar>
              <w:top w:w="30" w:type="dxa"/>
              <w:left w:w="70" w:type="dxa"/>
              <w:bottom w:w="30" w:type="dxa"/>
              <w:right w:w="70" w:type="dxa"/>
            </w:tcMar>
          </w:tcPr>
          <w:p>
            <w:pPr>
              <w:spacing w:before="0" w:after="0" w:line="170" w:lineRule="exact"/>
            </w:pPr>
            <w:r/>
            <w:r>
              <w:rPr>
                <w:rFonts w:ascii="Arial" w:hAnsi="Arial" w:cs="Arial" w:eastAsia="Arial"/>
                <w:b w:val="0"/>
                <w:i w:val="0"/>
                <w:color w:val="222A27"/>
                <w:sz w:val="13"/>
              </w:rPr>
              <w:t>Programme grants in the target band, already in Ghana. A grant to a university is UNVERIFIED.</w:t>
            </w:r>
          </w:p>
        </w:tc>
        <w:tc>
          <w:tcPr>
            <w:tcW w:type="dxa" w:w="1872"/>
            <w:vAlign w:val="center"/>
            <w:tcMar>
              <w:top w:w="30" w:type="dxa"/>
              <w:left w:w="70" w:type="dxa"/>
              <w:bottom w:w="30" w:type="dxa"/>
              <w:right w:w="70" w:type="dxa"/>
            </w:tcMar>
          </w:tcPr>
          <w:p>
            <w:pPr>
              <w:spacing w:before="0" w:after="0" w:line="170" w:lineRule="exact"/>
            </w:pPr>
            <w:r/>
            <w:r>
              <w:rPr>
                <w:rFonts w:ascii="Arial" w:hAnsi="Arial" w:cs="Arial" w:eastAsia="Arial"/>
                <w:b w:val="0"/>
                <w:i w:val="0"/>
                <w:color w:val="222A27"/>
                <w:sz w:val="13"/>
              </w:rPr>
              <w:t>https://www.afdb.org/en/news-and-events/press-releases/african-development-bank-and-invest-africa-sign-850000-grant-agreement-boost-inclusive-green-jobs-ghana-and-senegal-85980</w:t>
            </w:r>
          </w:p>
        </w:tc>
      </w:tr>
      <w:tr>
        <w:trPr>
          <w:cantSplit/>
        </w:trPr>
        <w:tc>
          <w:tcPr>
            <w:tcW w:type="dxa" w:w="1655"/>
            <w:vAlign w:val="center"/>
            <w:tcMar>
              <w:top w:w="30" w:type="dxa"/>
              <w:left w:w="70" w:type="dxa"/>
              <w:bottom w:w="30" w:type="dxa"/>
              <w:right w:w="70" w:type="dxa"/>
            </w:tcMar>
          </w:tcPr>
          <w:p>
            <w:pPr>
              <w:spacing w:before="0" w:after="0" w:line="170" w:lineRule="exact"/>
            </w:pPr>
            <w:r/>
            <w:r>
              <w:rPr>
                <w:rFonts w:ascii="Arial" w:hAnsi="Arial" w:cs="Arial" w:eastAsia="Arial"/>
                <w:b/>
                <w:i w:val="0"/>
                <w:color w:val="222A27"/>
                <w:sz w:val="13"/>
              </w:rPr>
              <w:t>4. Danida</w:t>
            </w:r>
          </w:p>
        </w:tc>
        <w:tc>
          <w:tcPr>
            <w:tcW w:type="dxa" w:w="2232"/>
            <w:vAlign w:val="center"/>
            <w:tcMar>
              <w:top w:w="30" w:type="dxa"/>
              <w:left w:w="70" w:type="dxa"/>
              <w:bottom w:w="30" w:type="dxa"/>
              <w:right w:w="70" w:type="dxa"/>
            </w:tcMar>
          </w:tcPr>
          <w:p>
            <w:pPr>
              <w:spacing w:before="0" w:after="0" w:line="170" w:lineRule="exact"/>
            </w:pPr>
            <w:r/>
            <w:r>
              <w:rPr>
                <w:rFonts w:ascii="Arial" w:hAnsi="Arial" w:cs="Arial" w:eastAsia="Arial"/>
                <w:b w:val="0"/>
                <w:i w:val="0"/>
                <w:color w:val="222A27"/>
                <w:sz w:val="13"/>
              </w:rPr>
              <w:t>Danida Green Business Partnerships, 2025 round. Climate adaptation. Ghana is eligible.</w:t>
            </w:r>
          </w:p>
        </w:tc>
        <w:tc>
          <w:tcPr>
            <w:tcW w:type="dxa" w:w="2448"/>
            <w:vAlign w:val="center"/>
            <w:tcMar>
              <w:top w:w="30" w:type="dxa"/>
              <w:left w:w="70" w:type="dxa"/>
              <w:bottom w:w="30" w:type="dxa"/>
              <w:right w:w="70" w:type="dxa"/>
            </w:tcMar>
          </w:tcPr>
          <w:p>
            <w:pPr>
              <w:spacing w:before="0" w:after="0" w:line="170" w:lineRule="exact"/>
            </w:pPr>
            <w:r/>
            <w:r>
              <w:rPr>
                <w:rFonts w:ascii="Arial" w:hAnsi="Arial" w:cs="Arial" w:eastAsia="Arial"/>
                <w:b w:val="0"/>
                <w:i w:val="0"/>
                <w:color w:val="222A27"/>
                <w:sz w:val="13"/>
              </w:rPr>
              <w:t>DKK 4 million to 15 million, for 3 to 5 years. Published in kroner, not US dollars. A US dollar conversion is UNVERIFIED.</w:t>
            </w:r>
          </w:p>
        </w:tc>
        <w:tc>
          <w:tcPr>
            <w:tcW w:type="dxa" w:w="2448"/>
            <w:vAlign w:val="center"/>
            <w:tcMar>
              <w:top w:w="30" w:type="dxa"/>
              <w:left w:w="70" w:type="dxa"/>
              <w:bottom w:w="30" w:type="dxa"/>
              <w:right w:w="70" w:type="dxa"/>
            </w:tcMar>
          </w:tcPr>
          <w:p>
            <w:pPr>
              <w:spacing w:before="0" w:after="0" w:line="170" w:lineRule="exact"/>
            </w:pPr>
            <w:r/>
            <w:r>
              <w:rPr>
                <w:rFonts w:ascii="Arial" w:hAnsi="Arial" w:cs="Arial" w:eastAsia="Arial"/>
                <w:b w:val="0"/>
                <w:i w:val="0"/>
                <w:color w:val="222A27"/>
                <w:sz w:val="13"/>
              </w:rPr>
              <w:t>Size and theme fit. The 2025 rules say a university cannot be the administrative partner, and an international commercial partner is required.</w:t>
            </w:r>
          </w:p>
        </w:tc>
        <w:tc>
          <w:tcPr>
            <w:tcW w:type="dxa" w:w="1872"/>
            <w:vAlign w:val="center"/>
            <w:tcMar>
              <w:top w:w="30" w:type="dxa"/>
              <w:left w:w="70" w:type="dxa"/>
              <w:bottom w:w="30" w:type="dxa"/>
              <w:right w:w="70" w:type="dxa"/>
            </w:tcMar>
          </w:tcPr>
          <w:p>
            <w:pPr>
              <w:spacing w:before="0" w:after="0" w:line="170" w:lineRule="exact"/>
            </w:pPr>
            <w:r/>
            <w:r>
              <w:rPr>
                <w:rFonts w:ascii="Arial" w:hAnsi="Arial" w:cs="Arial" w:eastAsia="Arial"/>
                <w:b w:val="0"/>
                <w:i w:val="0"/>
                <w:color w:val="222A27"/>
                <w:sz w:val="13"/>
              </w:rPr>
              <w:t>https://danida-business-partnerships.dk/wp-content/uploads/2025/01/DGBP-2025-Guidelines-read-these-if-you-want-to-apply.pdf</w:t>
            </w:r>
          </w:p>
        </w:tc>
      </w:tr>
      <w:tr>
        <w:trPr>
          <w:cantSplit/>
        </w:trPr>
        <w:tc>
          <w:tcPr>
            <w:tcW w:type="dxa" w:w="1655"/>
            <w:vAlign w:val="center"/>
            <w:tcMar>
              <w:top w:w="30" w:type="dxa"/>
              <w:left w:w="70" w:type="dxa"/>
              <w:bottom w:w="30" w:type="dxa"/>
              <w:right w:w="70" w:type="dxa"/>
            </w:tcMar>
          </w:tcPr>
          <w:p>
            <w:pPr>
              <w:spacing w:before="0" w:after="0" w:line="170" w:lineRule="exact"/>
            </w:pPr>
            <w:r/>
            <w:r>
              <w:rPr>
                <w:rFonts w:ascii="Arial" w:hAnsi="Arial" w:cs="Arial" w:eastAsia="Arial"/>
                <w:b/>
                <w:i w:val="0"/>
                <w:color w:val="222A27"/>
                <w:sz w:val="13"/>
              </w:rPr>
              <w:t>5. Mastercard Foundation</w:t>
            </w:r>
          </w:p>
        </w:tc>
        <w:tc>
          <w:tcPr>
            <w:tcW w:type="dxa" w:w="2232"/>
            <w:vAlign w:val="center"/>
            <w:tcMar>
              <w:top w:w="30" w:type="dxa"/>
              <w:left w:w="70" w:type="dxa"/>
              <w:bottom w:w="30" w:type="dxa"/>
              <w:right w:w="70" w:type="dxa"/>
            </w:tcMar>
          </w:tcPr>
          <w:p>
            <w:pPr>
              <w:spacing w:before="0" w:after="0" w:line="170" w:lineRule="exact"/>
            </w:pPr>
            <w:r/>
            <w:r>
              <w:rPr>
                <w:rFonts w:ascii="Arial" w:hAnsi="Arial" w:cs="Arial" w:eastAsia="Arial"/>
                <w:b w:val="0"/>
                <w:i w:val="0"/>
                <w:color w:val="222A27"/>
                <w:sz w:val="13"/>
              </w:rPr>
              <w:t>Climate Impact Challenge Fund, inside the Fund for Resilience and Prosperity. Ghana is a focus country.</w:t>
            </w:r>
          </w:p>
        </w:tc>
        <w:tc>
          <w:tcPr>
            <w:tcW w:type="dxa" w:w="2448"/>
            <w:vAlign w:val="center"/>
            <w:tcMar>
              <w:top w:w="30" w:type="dxa"/>
              <w:left w:w="70" w:type="dxa"/>
              <w:bottom w:w="30" w:type="dxa"/>
              <w:right w:w="70" w:type="dxa"/>
            </w:tcMar>
          </w:tcPr>
          <w:p>
            <w:pPr>
              <w:spacing w:before="0" w:after="0" w:line="170" w:lineRule="exact"/>
            </w:pPr>
            <w:r/>
            <w:r>
              <w:rPr>
                <w:rFonts w:ascii="Arial" w:hAnsi="Arial" w:cs="Arial" w:eastAsia="Arial"/>
                <w:b w:val="0"/>
                <w:i w:val="0"/>
                <w:color w:val="222A27"/>
                <w:sz w:val="13"/>
              </w:rPr>
              <w:t>US$250,000 to US$1,500,000 over three years.</w:t>
            </w:r>
          </w:p>
        </w:tc>
        <w:tc>
          <w:tcPr>
            <w:tcW w:type="dxa" w:w="2448"/>
            <w:vAlign w:val="center"/>
            <w:tcMar>
              <w:top w:w="30" w:type="dxa"/>
              <w:left w:w="70" w:type="dxa"/>
              <w:bottom w:w="30" w:type="dxa"/>
              <w:right w:w="70" w:type="dxa"/>
            </w:tcMar>
          </w:tcPr>
          <w:p>
            <w:pPr>
              <w:spacing w:before="0" w:after="0" w:line="170" w:lineRule="exact"/>
            </w:pPr>
            <w:r/>
            <w:r>
              <w:rPr>
                <w:rFonts w:ascii="Arial" w:hAnsi="Arial" w:cs="Arial" w:eastAsia="Arial"/>
                <w:b w:val="0"/>
                <w:i w:val="0"/>
                <w:color w:val="222A27"/>
                <w:sz w:val="13"/>
              </w:rPr>
              <w:t>Ticket covers the band. Rules require a for-profit SME with at least 3 years of operations, so this fits cohort firms, not the university host. A hub grant is UNVERIFIED.</w:t>
            </w:r>
          </w:p>
        </w:tc>
        <w:tc>
          <w:tcPr>
            <w:tcW w:type="dxa" w:w="1872"/>
            <w:vAlign w:val="center"/>
            <w:tcMar>
              <w:top w:w="30" w:type="dxa"/>
              <w:left w:w="70" w:type="dxa"/>
              <w:bottom w:w="30" w:type="dxa"/>
              <w:right w:w="70" w:type="dxa"/>
            </w:tcMar>
          </w:tcPr>
          <w:p>
            <w:pPr>
              <w:spacing w:before="0" w:after="0" w:line="170" w:lineRule="exact"/>
            </w:pPr>
            <w:r/>
            <w:r>
              <w:rPr>
                <w:rFonts w:ascii="Arial" w:hAnsi="Arial" w:cs="Arial" w:eastAsia="Arial"/>
                <w:b w:val="0"/>
                <w:i w:val="0"/>
                <w:color w:val="222A27"/>
                <w:sz w:val="13"/>
              </w:rPr>
              <w:t>https://frp.org/sites/default/files/2024-11/Climate%20Impact%20Challenge%20Fund_summary.pdf</w:t>
            </w:r>
          </w:p>
        </w:tc>
      </w:tr>
    </w:tbl>
    <w:p>
      <w:pPr>
        <w:spacing w:before="40" w:after="0" w:line="200" w:lineRule="exact"/>
      </w:pPr>
      <w:r>
        <w:rPr>
          <w:rFonts w:ascii="Georgia" w:hAnsi="Georgia" w:cs="Georgia" w:eastAsia="Georgia"/>
          <w:b w:val="0"/>
          <w:i w:val="0"/>
          <w:color w:val="222A27"/>
          <w:sz w:val="16"/>
        </w:rPr>
        <w:t>Not ranked. USAID: a March 2025 Appropriations letter states that 86% of USAID awards were terminated (https://storage.courtlistener.com/recap/gov.uscourts.dcd.277562/gov.uscourts.dcd.277562.39.18.pdf). Do not plan a new USAID hub grant on the old pipeline. Below this band: FCDO TRANSFORM at GBP 100,000 per enterprise; EU Joint Innovation Facility at EUR 100,000 to 250,000; Orange Corners Ghana at up to EUR 50,000 per entrepreneur. UNDP Ghana Climate Promise is a US$864,000 project with low-value grants. Rockefeller funded the African School of Regulation in Accra at US$1 million (2023) and US$3 million (2024): energy regulation, not a startup hub. SECO GPSCP II is CHF 9 million for cashew and oil palm.</w:t>
      </w:r>
    </w:p>
    <w:sectPr w:rsidR="00FC693F" w:rsidRPr="0006063C" w:rsidSect="00034616">
      <w:footerReference w:type="default" r:id="rId10"/>
      <w:pgSz w:w="12240" w:h="15840"/>
      <w:pgMar w:top="576" w:right="792" w:bottom="605" w:left="792" w:header="230" w:footer="23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after="0" w:line="220" w:lineRule="exact"/>
      <w:pBdr>
        <w:top w:val="single" w:sz="6" w:space="1" w:color="335D4F"/>
      </w:pBdr>
    </w:pPr>
    <w:r>
      <w:rPr>
        <w:rFonts w:ascii="Arial" w:hAnsi="Arial" w:cs="Arial" w:eastAsia="Arial"/>
        <w:b w:val="0"/>
        <w:i w:val="0"/>
        <w:color w:val="335D4F"/>
        <w:sz w:val="16"/>
      </w:rPr>
      <w:t>Internal prep, not for circulation. Source: REIN × Academic City proposal, Apr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pPr>
    <w:rPr>
      <w:rFonts w:ascii="Georgia" w:hAnsi="Georgia" w:cs="Georgia" w:eastAsia="Georgia"/>
      <w:color w:val="222A2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REIN Ghana Hub × Academic City: what ACity brings and what it costs</dc:title>
  <dc:subject>Internal prep, not for circulation</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REIN Hubs internal</cp:category>
</cp:coreProperties>
</file>