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AWS Well-Architected &amp;</w:t>
      </w:r>
    </w:p>
    <w:p>
      <w:pPr>
        <w:spacing w:after="80"/>
        <w:jc w:val="center"/>
      </w:pPr>
      <w:r>
        <w:rPr>
          <w:rFonts w:ascii="Arial" w:cs="Arial" w:eastAsia="Arial" w:hAnsi="Arial"/>
          <w:b/>
          <w:bCs/>
          <w:color w:val="1F4E79"/>
          <w:sz w:val="40"/>
          <w:szCs w:val="40"/>
        </w:rPr>
        <w:t xml:space="preserve">Cloud Adoption Framework Assessment</w:t>
      </w:r>
    </w:p>
    <w:p>
      <w:pPr>
        <w:spacing w:after="60"/>
        <w:jc w:val="center"/>
      </w:pPr>
      <w:r>
        <w:rPr>
          <w:rFonts w:ascii="Arial" w:cs="Arial" w:eastAsia="Arial" w:hAnsi="Arial"/>
          <w:i/>
          <w:iCs/>
          <w:color w:val="2E74B5"/>
          <w:sz w:val="24"/>
          <w:szCs w:val="24"/>
        </w:rPr>
        <w:t xml:space="preserve">Two-Tier Web Application — On-Premises to AWS Migration</w:t>
      </w:r>
    </w:p>
    <w:p>
      <w:pPr>
        <w:pBdr>
          <w:bottom w:val="single" w:color="2E74B5" w:sz="6" w:space="1"/>
        </w:pBdr>
        <w:spacing w:before="240" w:after="240"/>
      </w:pPr>
    </w:p>
    <w:p>
      <w:pPr>
        <w:spacing w:after="60"/>
        <w:jc w:val="left"/>
      </w:pPr>
      <w:r>
        <w:rPr>
          <w:rFonts w:ascii="Arial" w:cs="Arial" w:eastAsia="Arial" w:hAnsi="Arial"/>
          <w:b/>
          <w:bCs/>
          <w:color w:val="1F4E79"/>
          <w:sz w:val="20"/>
          <w:szCs w:val="20"/>
        </w:rPr>
        <w:t xml:space="preserve">Prepared by: </w:t>
      </w:r>
      <w:r>
        <w:rPr>
          <w:rFonts w:ascii="Arial" w:cs="Arial" w:eastAsia="Arial" w:hAnsi="Arial"/>
          <w:sz w:val="20"/>
          <w:szCs w:val="20"/>
        </w:rPr>
        <w:t xml:space="preserve">Dakore Gideon</w:t>
      </w:r>
    </w:p>
    <w:p>
      <w:pPr>
        <w:spacing w:after="60"/>
        <w:jc w:val="left"/>
      </w:pPr>
      <w:r>
        <w:rPr>
          <w:rFonts w:ascii="Arial" w:cs="Arial" w:eastAsia="Arial" w:hAnsi="Arial"/>
          <w:b/>
          <w:bCs/>
          <w:color w:val="1F4E79"/>
          <w:sz w:val="20"/>
          <w:szCs w:val="20"/>
        </w:rPr>
        <w:t xml:space="preserve">Date: </w:t>
      </w:r>
      <w:r>
        <w:rPr>
          <w:rFonts w:ascii="Arial" w:cs="Arial" w:eastAsia="Arial" w:hAnsi="Arial"/>
          <w:sz w:val="20"/>
          <w:szCs w:val="20"/>
        </w:rPr>
        <w:t xml:space="preserve">February 25, 2026</w:t>
      </w:r>
    </w:p>
    <w:p>
      <w:pPr>
        <w:spacing w:after="60"/>
        <w:jc w:val="left"/>
      </w:pPr>
      <w:r>
        <w:rPr>
          <w:rFonts w:ascii="Arial" w:cs="Arial" w:eastAsia="Arial" w:hAnsi="Arial"/>
          <w:b/>
          <w:bCs/>
          <w:color w:val="1F4E79"/>
          <w:sz w:val="20"/>
          <w:szCs w:val="20"/>
        </w:rPr>
        <w:t xml:space="preserve">Course: </w:t>
      </w:r>
      <w:r>
        <w:rPr>
          <w:rFonts w:ascii="Arial" w:cs="Arial" w:eastAsia="Arial" w:hAnsi="Arial"/>
          <w:sz w:val="20"/>
          <w:szCs w:val="20"/>
        </w:rPr>
        <w:t xml:space="preserve">AWS Cloud — AmaliTech LMS</w:t>
      </w:r>
    </w:p>
    <w:p>
      <w:pPr>
        <w:spacing w:after="60"/>
        <w:jc w:val="left"/>
      </w:pPr>
      <w:r>
        <w:rPr>
          <w:rFonts w:ascii="Arial" w:cs="Arial" w:eastAsia="Arial" w:hAnsi="Arial"/>
          <w:b/>
          <w:bCs/>
          <w:color w:val="1F4E79"/>
          <w:sz w:val="20"/>
          <w:szCs w:val="20"/>
        </w:rPr>
        <w:t xml:space="preserve">Lab: </w:t>
      </w:r>
      <w:r>
        <w:rPr>
          <w:rFonts w:ascii="Arial" w:cs="Arial" w:eastAsia="Arial" w:hAnsi="Arial"/>
          <w:sz w:val="20"/>
          <w:szCs w:val="20"/>
        </w:rPr>
        <w:t xml:space="preserve">Design and Evaluate an AWS Solution Using WAF and CAF</w:t>
      </w:r>
    </w:p>
    <w:p>
      <w:pPr>
        <w:spacing w:after="60"/>
        <w:jc w:val="left"/>
      </w:pPr>
      <w:r>
        <w:rPr>
          <w:rFonts w:ascii="Arial" w:cs="Arial" w:eastAsia="Arial" w:hAnsi="Arial"/>
          <w:b/>
          <w:bCs/>
          <w:color w:val="1F4E79"/>
          <w:sz w:val="20"/>
          <w:szCs w:val="20"/>
        </w:rPr>
        <w:t xml:space="preserve">Frameworks Applied: </w:t>
      </w:r>
      <w:r>
        <w:rPr>
          <w:rFonts w:ascii="Arial" w:cs="Arial" w:eastAsia="Arial" w:hAnsi="Arial"/>
          <w:sz w:val="20"/>
          <w:szCs w:val="20"/>
        </w:rPr>
        <w:t xml:space="preserve">AWS Well-Architected Framework (5 Pillars) | AWS Cloud Adoption Framework (6 Perspectives)</w:t>
      </w:r>
    </w:p>
    <w:p>
      <w:pPr>
        <w:pBdr>
          <w:bottom w:val="single" w:color="DDDDDD" w:sz="6" w:space="1"/>
        </w:pBdr>
        <w:spacing w:before="240" w:after="240"/>
      </w:pPr>
    </w:p>
    <w:p>
      <w:pPr>
        <w:spacing w:before="400" w:after="180"/>
      </w:pPr>
      <w:r>
        <w:rPr>
          <w:rFonts w:ascii="Arial" w:cs="Arial" w:eastAsia="Arial" w:hAnsi="Arial"/>
          <w:b/>
          <w:bCs/>
          <w:color w:val="1F4E79"/>
          <w:sz w:val="30"/>
          <w:szCs w:val="30"/>
        </w:rPr>
        <w:t xml:space="preserve">Task 1 — </w:t>
      </w:r>
      <w:r>
        <w:rPr>
          <w:rFonts w:ascii="Arial" w:cs="Arial" w:eastAsia="Arial" w:hAnsi="Arial"/>
          <w:color w:val="1F4E79"/>
          <w:sz w:val="30"/>
          <w:szCs w:val="30"/>
        </w:rPr>
        <w:t xml:space="preserve">Review of the Existing Architecture</w:t>
      </w:r>
    </w:p>
    <w:p>
      <w:pPr>
        <w:spacing w:before="220" w:after="100"/>
      </w:pPr>
      <w:r>
        <w:rPr>
          <w:rFonts w:ascii="Arial" w:cs="Arial" w:eastAsia="Arial" w:hAnsi="Arial"/>
          <w:b/>
          <w:bCs/>
          <w:color w:val="2E74B5"/>
          <w:sz w:val="22"/>
          <w:szCs w:val="22"/>
        </w:rPr>
        <w:t xml:space="preserve">1.1 Workload Components</w:t>
      </w:r>
    </w:p>
    <w:p>
      <w:pPr>
        <w:spacing w:after="120"/>
        <w:jc w:val="left"/>
      </w:pPr>
      <w:r>
        <w:rPr>
          <w:rFonts w:ascii="Arial" w:cs="Arial" w:eastAsia="Arial" w:hAnsi="Arial"/>
          <w:sz w:val="20"/>
          <w:szCs w:val="20"/>
        </w:rPr>
        <w:t xml:space="preserve">The existing on-premises two-tier web application consists of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Component</w:t>
            </w:r>
          </w:p>
        </w:tc>
        <w:tc>
          <w:tcPr>
            <w:tcW w:type="dxa" w:w="696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Description</w:t>
            </w:r>
          </w:p>
        </w:tc>
      </w:tr>
      <w:tr>
        <w:tc>
          <w:tcPr>
            <w:tcW w:type="dxa" w:w="24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Frontend Web Server</w:t>
            </w:r>
          </w:p>
        </w:tc>
        <w:tc>
          <w:tcPr>
            <w:tcW w:type="dxa" w:w="6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 single physical or virtual server running the web application (e.g., Apache/Nginx + application code). Handles all HTTP/HTTPS traffic from users.</w:t>
            </w:r>
          </w:p>
        </w:tc>
      </w:tr>
      <w:tr>
        <w:tc>
          <w:tcPr>
            <w:tcW w:type="dxa" w:w="2400"/>
            <w:tcBorders>
              <w:top w:val="single" w:color="2E74B5" w:sz="1"/>
              <w:left w:val="single" w:color="2E74B5" w:sz="1"/>
              <w:bottom w:val="single" w:color="2E74B5" w:sz="1"/>
              <w:right w:val="single" w:color="2E74B5" w:sz="1"/>
            </w:tcBorders>
            <w:shd w:fill="EDF5FF"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Backend Database Server</w:t>
            </w:r>
          </w:p>
        </w:tc>
        <w:tc>
          <w:tcPr>
            <w:tcW w:type="dxa" w:w="69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 single on-premises database server (e.g., MySQL or PostgreSQL). Stores all application data including user records, transactions, and content.</w:t>
            </w:r>
          </w:p>
        </w:tc>
      </w:tr>
      <w:tr>
        <w:tc>
          <w:tcPr>
            <w:tcW w:type="dxa" w:w="24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Network Layer</w:t>
            </w:r>
          </w:p>
        </w:tc>
        <w:tc>
          <w:tcPr>
            <w:tcW w:type="dxa" w:w="6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On-premises network with a hardware firewall. Traffic flows directly from the internet to the web server, and from the web server to the database.</w:t>
            </w:r>
          </w:p>
        </w:tc>
      </w:tr>
      <w:tr>
        <w:tc>
          <w:tcPr>
            <w:tcW w:type="dxa" w:w="2400"/>
            <w:tcBorders>
              <w:top w:val="single" w:color="2E74B5" w:sz="1"/>
              <w:left w:val="single" w:color="2E74B5" w:sz="1"/>
              <w:bottom w:val="single" w:color="2E74B5" w:sz="1"/>
              <w:right w:val="single" w:color="2E74B5" w:sz="1"/>
            </w:tcBorders>
            <w:shd w:fill="EDF5FF"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Storage</w:t>
            </w:r>
          </w:p>
        </w:tc>
        <w:tc>
          <w:tcPr>
            <w:tcW w:type="dxa" w:w="69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Local disks attached to each server. No centralised or managed storage solution in place.</w:t>
            </w:r>
          </w:p>
        </w:tc>
      </w:tr>
      <w:tr>
        <w:tc>
          <w:tcPr>
            <w:tcW w:type="dxa" w:w="24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Backup</w:t>
            </w:r>
          </w:p>
        </w:tc>
        <w:tc>
          <w:tcPr>
            <w:tcW w:type="dxa" w:w="6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Manual or ad-hoc backup processes. No automated, policy-driven backup strategy.</w:t>
            </w:r>
          </w:p>
        </w:tc>
      </w:tr>
      <w:tr>
        <w:tc>
          <w:tcPr>
            <w:tcW w:type="dxa" w:w="2400"/>
            <w:tcBorders>
              <w:top w:val="single" w:color="2E74B5" w:sz="1"/>
              <w:left w:val="single" w:color="2E74B5" w:sz="1"/>
              <w:bottom w:val="single" w:color="2E74B5" w:sz="1"/>
              <w:right w:val="single" w:color="2E74B5" w:sz="1"/>
            </w:tcBorders>
            <w:shd w:fill="EDF5FF"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Monitoring</w:t>
            </w:r>
          </w:p>
        </w:tc>
        <w:tc>
          <w:tcPr>
            <w:tcW w:type="dxa" w:w="69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Limited OS-level monitoring tools only. No application-level observability or centralised alerting.</w:t>
            </w:r>
          </w:p>
        </w:tc>
      </w:tr>
    </w:tbl>
    <w:p>
      <w:pPr>
        <w:spacing w:after="160"/>
        <w:jc w:val="left"/>
      </w:pPr>
      <w:r>
        <w:rPr>
          <w:rFonts w:ascii="Arial" w:cs="Arial" w:eastAsia="Arial" w:hAnsi="Arial"/>
          <w:sz w:val="20"/>
          <w:szCs w:val="20"/>
        </w:rPr>
        <w:t xml:space="preserve"/>
      </w:r>
    </w:p>
    <w:p>
      <w:pPr>
        <w:spacing w:before="220" w:after="100"/>
      </w:pPr>
      <w:r>
        <w:rPr>
          <w:rFonts w:ascii="Arial" w:cs="Arial" w:eastAsia="Arial" w:hAnsi="Arial"/>
          <w:b/>
          <w:bCs/>
          <w:color w:val="2E74B5"/>
          <w:sz w:val="22"/>
          <w:szCs w:val="22"/>
        </w:rPr>
        <w:t xml:space="preserve">1.2 Identified Risks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60"/>
        <w:gridCol w:w="410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w:t>
            </w:r>
          </w:p>
        </w:tc>
        <w:tc>
          <w:tcPr>
            <w:tcW w:type="dxa" w:w="476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Risk / Weakness</w:t>
            </w:r>
          </w:p>
        </w:tc>
        <w:tc>
          <w:tcPr>
            <w:tcW w:type="dxa" w:w="41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Category</w:t>
            </w:r>
          </w:p>
        </w:tc>
      </w:tr>
      <w:tr>
        <w:tc>
          <w:tcPr>
            <w:tcW w:type="dxa" w:w="5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center"/>
            </w:pPr>
            <w:r>
              <w:rPr>
                <w:rFonts w:ascii="Arial" w:cs="Arial" w:eastAsia="Arial" w:hAnsi="Arial"/>
                <w:b/>
                <w:bCs/>
                <w:color w:val="1F4E79"/>
                <w:sz w:val="20"/>
                <w:szCs w:val="20"/>
              </w:rPr>
              <w:t xml:space="preserve">1</w:t>
            </w:r>
          </w:p>
        </w:tc>
        <w:tc>
          <w:tcPr>
            <w:tcW w:type="dxa" w:w="4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Single point of failure — both the web server and database run on single machines. Any hardware failure causes total downtime.</w:t>
            </w:r>
          </w:p>
        </w:tc>
        <w:tc>
          <w:tcPr>
            <w:tcW w:type="dxa" w:w="4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i/>
                <w:iCs/>
                <w:color w:val="C55A11"/>
                <w:sz w:val="20"/>
                <w:szCs w:val="20"/>
              </w:rPr>
              <w:t xml:space="preserve">Reliability</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center"/>
            </w:pPr>
            <w:r>
              <w:rPr>
                <w:rFonts w:ascii="Arial" w:cs="Arial" w:eastAsia="Arial" w:hAnsi="Arial"/>
                <w:b/>
                <w:bCs/>
                <w:color w:val="1F4E79"/>
                <w:sz w:val="20"/>
                <w:szCs w:val="20"/>
              </w:rPr>
              <w:t xml:space="preserve">2</w:t>
            </w:r>
          </w:p>
        </w:tc>
        <w:tc>
          <w:tcPr>
            <w:tcW w:type="dxa" w:w="47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No redundancy / single-AZ equivalent — all compute and storage is co-located with no geographic or availability zone separation.</w:t>
            </w:r>
          </w:p>
        </w:tc>
        <w:tc>
          <w:tcPr>
            <w:tcW w:type="dxa" w:w="41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i/>
                <w:iCs/>
                <w:color w:val="C55A11"/>
                <w:sz w:val="20"/>
                <w:szCs w:val="20"/>
              </w:rPr>
              <w:t xml:space="preserve">Reliability</w:t>
            </w:r>
          </w:p>
        </w:tc>
      </w:tr>
      <w:tr>
        <w:tc>
          <w:tcPr>
            <w:tcW w:type="dxa" w:w="5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center"/>
            </w:pPr>
            <w:r>
              <w:rPr>
                <w:rFonts w:ascii="Arial" w:cs="Arial" w:eastAsia="Arial" w:hAnsi="Arial"/>
                <w:b/>
                <w:bCs/>
                <w:color w:val="1F4E79"/>
                <w:sz w:val="20"/>
                <w:szCs w:val="20"/>
              </w:rPr>
              <w:t xml:space="preserve">3</w:t>
            </w:r>
          </w:p>
        </w:tc>
        <w:tc>
          <w:tcPr>
            <w:tcW w:type="dxa" w:w="4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No automated backup strategy — data loss risk is high. Recovery from failure would be slow and entirely manual.</w:t>
            </w:r>
          </w:p>
        </w:tc>
        <w:tc>
          <w:tcPr>
            <w:tcW w:type="dxa" w:w="4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i/>
                <w:iCs/>
                <w:color w:val="C55A11"/>
                <w:sz w:val="20"/>
                <w:szCs w:val="20"/>
              </w:rPr>
              <w:t xml:space="preserve">Reliability / Operational Excellence</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center"/>
            </w:pPr>
            <w:r>
              <w:rPr>
                <w:rFonts w:ascii="Arial" w:cs="Arial" w:eastAsia="Arial" w:hAnsi="Arial"/>
                <w:b/>
                <w:bCs/>
                <w:color w:val="1F4E79"/>
                <w:sz w:val="20"/>
                <w:szCs w:val="20"/>
              </w:rPr>
              <w:t xml:space="preserve">4</w:t>
            </w:r>
          </w:p>
        </w:tc>
        <w:tc>
          <w:tcPr>
            <w:tcW w:type="dxa" w:w="47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Overly permissive firewall rules — on-premises firewalls often configured with broad allow rules (e.g., 0.0.0.0/0 on port 22 or 3306).</w:t>
            </w:r>
          </w:p>
        </w:tc>
        <w:tc>
          <w:tcPr>
            <w:tcW w:type="dxa" w:w="41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i/>
                <w:iCs/>
                <w:color w:val="C55A11"/>
                <w:sz w:val="20"/>
                <w:szCs w:val="20"/>
              </w:rPr>
              <w:t xml:space="preserve">Security</w:t>
            </w:r>
          </w:p>
        </w:tc>
      </w:tr>
      <w:tr>
        <w:tc>
          <w:tcPr>
            <w:tcW w:type="dxa" w:w="5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center"/>
            </w:pPr>
            <w:r>
              <w:rPr>
                <w:rFonts w:ascii="Arial" w:cs="Arial" w:eastAsia="Arial" w:hAnsi="Arial"/>
                <w:b/>
                <w:bCs/>
                <w:color w:val="1F4E79"/>
                <w:sz w:val="20"/>
                <w:szCs w:val="20"/>
              </w:rPr>
              <w:t xml:space="preserve">5</w:t>
            </w:r>
          </w:p>
        </w:tc>
        <w:tc>
          <w:tcPr>
            <w:tcW w:type="dxa" w:w="4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No encryption at rest or in transit — database and web traffic may be unencrypted, exposing sensitive data to interception.</w:t>
            </w:r>
          </w:p>
        </w:tc>
        <w:tc>
          <w:tcPr>
            <w:tcW w:type="dxa" w:w="4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i/>
                <w:iCs/>
                <w:color w:val="C55A11"/>
                <w:sz w:val="20"/>
                <w:szCs w:val="20"/>
              </w:rPr>
              <w:t xml:space="preserve">Security</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center"/>
            </w:pPr>
            <w:r>
              <w:rPr>
                <w:rFonts w:ascii="Arial" w:cs="Arial" w:eastAsia="Arial" w:hAnsi="Arial"/>
                <w:b/>
                <w:bCs/>
                <w:color w:val="1F4E79"/>
                <w:sz w:val="20"/>
                <w:szCs w:val="20"/>
              </w:rPr>
              <w:t xml:space="preserve">6</w:t>
            </w:r>
          </w:p>
        </w:tc>
        <w:tc>
          <w:tcPr>
            <w:tcW w:type="dxa" w:w="47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No auto-scaling — the architecture cannot handle traffic spikes. Over-provisioning wastes money; under-provisioning causes outages.</w:t>
            </w:r>
          </w:p>
        </w:tc>
        <w:tc>
          <w:tcPr>
            <w:tcW w:type="dxa" w:w="41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i/>
                <w:iCs/>
                <w:color w:val="C55A11"/>
                <w:sz w:val="20"/>
                <w:szCs w:val="20"/>
              </w:rPr>
              <w:t xml:space="preserve">Performance Efficiency / Cost Optimization</w:t>
            </w:r>
          </w:p>
        </w:tc>
      </w:tr>
      <w:tr>
        <w:tc>
          <w:tcPr>
            <w:tcW w:type="dxa" w:w="5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center"/>
            </w:pPr>
            <w:r>
              <w:rPr>
                <w:rFonts w:ascii="Arial" w:cs="Arial" w:eastAsia="Arial" w:hAnsi="Arial"/>
                <w:b/>
                <w:bCs/>
                <w:color w:val="1F4E79"/>
                <w:sz w:val="20"/>
                <w:szCs w:val="20"/>
              </w:rPr>
              <w:t xml:space="preserve">7</w:t>
            </w:r>
          </w:p>
        </w:tc>
        <w:tc>
          <w:tcPr>
            <w:tcW w:type="dxa" w:w="4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Manual deployments — no CI/CD pipeline, no infrastructure-as-code. Changes are manual and error-prone.</w:t>
            </w:r>
          </w:p>
        </w:tc>
        <w:tc>
          <w:tcPr>
            <w:tcW w:type="dxa" w:w="4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i/>
                <w:iCs/>
                <w:color w:val="C55A11"/>
                <w:sz w:val="20"/>
                <w:szCs w:val="20"/>
              </w:rPr>
              <w:t xml:space="preserve">Operational Excellence</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center"/>
            </w:pPr>
            <w:r>
              <w:rPr>
                <w:rFonts w:ascii="Arial" w:cs="Arial" w:eastAsia="Arial" w:hAnsi="Arial"/>
                <w:b/>
                <w:bCs/>
                <w:color w:val="1F4E79"/>
                <w:sz w:val="20"/>
                <w:szCs w:val="20"/>
              </w:rPr>
              <w:t xml:space="preserve">8</w:t>
            </w:r>
          </w:p>
        </w:tc>
        <w:tc>
          <w:tcPr>
            <w:tcW w:type="dxa" w:w="47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No centralised monitoring or alerting — incidents are detected reactively, increasing mean time to recovery (MTTR).</w:t>
            </w:r>
          </w:p>
        </w:tc>
        <w:tc>
          <w:tcPr>
            <w:tcW w:type="dxa" w:w="41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i/>
                <w:iCs/>
                <w:color w:val="C55A11"/>
                <w:sz w:val="20"/>
                <w:szCs w:val="20"/>
              </w:rPr>
              <w:t xml:space="preserve">Operational Excellence</w:t>
            </w:r>
          </w:p>
        </w:tc>
      </w:tr>
      <w:tr>
        <w:tc>
          <w:tcPr>
            <w:tcW w:type="dxa" w:w="5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center"/>
            </w:pPr>
            <w:r>
              <w:rPr>
                <w:rFonts w:ascii="Arial" w:cs="Arial" w:eastAsia="Arial" w:hAnsi="Arial"/>
                <w:b/>
                <w:bCs/>
                <w:color w:val="1F4E79"/>
                <w:sz w:val="20"/>
                <w:szCs w:val="20"/>
              </w:rPr>
              <w:t xml:space="preserve">9</w:t>
            </w:r>
          </w:p>
        </w:tc>
        <w:tc>
          <w:tcPr>
            <w:tcW w:type="dxa" w:w="4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Fixed capital expenditure — on-premises hardware requires large upfront investment with no elasticity or right-sizing capability.</w:t>
            </w:r>
          </w:p>
        </w:tc>
        <w:tc>
          <w:tcPr>
            <w:tcW w:type="dxa" w:w="4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i/>
                <w:iCs/>
                <w:color w:val="C55A11"/>
                <w:sz w:val="20"/>
                <w:szCs w:val="20"/>
              </w:rPr>
              <w:t xml:space="preserve">Cost Optimization</w:t>
            </w:r>
          </w:p>
        </w:tc>
      </w:tr>
    </w:tbl>
    <w:p>
      <w:pPr>
        <w:spacing w:after="0"/>
      </w:pPr>
      <w:r>
        <w:br w:type="page"/>
      </w:r>
    </w:p>
    <w:p>
      <w:pPr>
        <w:spacing w:before="400" w:after="180"/>
      </w:pPr>
      <w:r>
        <w:rPr>
          <w:rFonts w:ascii="Arial" w:cs="Arial" w:eastAsia="Arial" w:hAnsi="Arial"/>
          <w:b/>
          <w:bCs/>
          <w:color w:val="1F4E79"/>
          <w:sz w:val="30"/>
          <w:szCs w:val="30"/>
        </w:rPr>
        <w:t xml:space="preserve">Task 2 — </w:t>
      </w:r>
      <w:r>
        <w:rPr>
          <w:rFonts w:ascii="Arial" w:cs="Arial" w:eastAsia="Arial" w:hAnsi="Arial"/>
          <w:color w:val="1F4E79"/>
          <w:sz w:val="30"/>
          <w:szCs w:val="30"/>
        </w:rPr>
        <w:t xml:space="preserve">AWS Well-Architected Framework Evaluation</w:t>
      </w:r>
    </w:p>
    <w:p>
      <w:pPr>
        <w:spacing w:after="200"/>
        <w:jc w:val="left"/>
      </w:pPr>
      <w:r>
        <w:rPr>
          <w:rFonts w:ascii="Arial" w:cs="Arial" w:eastAsia="Arial" w:hAnsi="Arial"/>
          <w:i/>
          <w:iCs/>
          <w:sz w:val="20"/>
          <w:szCs w:val="20"/>
        </w:rPr>
        <w:t xml:space="preserve">The table below evaluates the two-tier workload against all five pillars of the AWS Well-Architected Framework, identifying one strength and one weakness per pillar, with a specific improvement recommendation and supporting AWS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400"/>
        <w:gridCol w:w="30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Pillar</w:t>
            </w:r>
          </w:p>
        </w:tc>
        <w:tc>
          <w:tcPr>
            <w:tcW w:type="dxa" w:w="23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Observation (Strength &amp; Weakness)</w:t>
            </w:r>
          </w:p>
        </w:tc>
        <w:tc>
          <w:tcPr>
            <w:tcW w:type="dxa" w:w="24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Improvement Recommendation</w:t>
            </w:r>
          </w:p>
        </w:tc>
        <w:tc>
          <w:tcPr>
            <w:tcW w:type="dxa" w:w="306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Supporting AWS Service</w:t>
            </w:r>
          </w:p>
        </w:tc>
      </w:tr>
      <w:tr>
        <w:tc>
          <w:tcPr>
            <w:tcW w:type="dxa" w:w="1600"/>
            <w:tcBorders>
              <w:top w:val="single" w:color="2E74B5" w:sz="1"/>
              <w:left w:val="single" w:color="2E74B5" w:sz="1"/>
              <w:bottom w:val="single" w:color="2E74B5" w:sz="1"/>
              <w:right w:val="single" w:color="2E74B5" w:sz="1"/>
            </w:tcBorders>
            <w:shd w:fill="EAF3FB" w:val="clear"/>
            <w:tcMar>
              <w:top w:type="dxa" w:w="100"/>
              <w:left w:type="dxa" w:w="140"/>
              <w:bottom w:type="dxa" w:w="100"/>
              <w:right w:type="dxa" w:w="140"/>
            </w:tcMar>
            <w:vAlign w:val="center"/>
          </w:tcPr>
          <w:p>
            <w:pPr>
              <w:spacing w:after="0"/>
              <w:jc w:val="left"/>
            </w:pPr>
            <w:r>
              <w:rPr>
                <w:rFonts w:ascii="Arial" w:cs="Arial" w:eastAsia="Arial" w:hAnsi="Arial"/>
                <w:b/>
                <w:bCs/>
                <w:color w:val="2E74B5"/>
                <w:sz w:val="19"/>
                <w:szCs w:val="19"/>
              </w:rPr>
              <w:t xml:space="preserve">Operational Excellence</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STRENGTH: Existing runbooks and a defined deployment process provide an operational baseline.
WEAKNESS: All deployments are manual with no IaC or CI/CD pipeline, making operations slow, error-prone, and difficult to audit.</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Adopt Infrastructure-as-Code to provision all AWS resources repeatably. Implement a CI/CD pipeline for automated deployments. Enable centralised logging and distributed tracing for full operational visibility.</w:t>
            </w:r>
          </w:p>
        </w:tc>
        <w:tc>
          <w:tcPr>
            <w:tcW w:type="dxa" w:w="3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AWS CloudFormation (IaC)
AWS CodePipeline + CodeDeploy (CI/CD)
Amazon CloudWatch (monitoring &amp; alerting)
AWS X-Ray (distributed tracing)</w:t>
            </w:r>
          </w:p>
        </w:tc>
      </w:tr>
      <w:tr>
        <w:tc>
          <w:tcPr>
            <w:tcW w:type="dxa" w:w="1600"/>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vAlign w:val="center"/>
          </w:tcPr>
          <w:p>
            <w:pPr>
              <w:spacing w:after="0"/>
              <w:jc w:val="left"/>
            </w:pPr>
            <w:r>
              <w:rPr>
                <w:rFonts w:ascii="Arial" w:cs="Arial" w:eastAsia="Arial" w:hAnsi="Arial"/>
                <w:b/>
                <w:bCs/>
                <w:color w:val="C55A11"/>
                <w:sz w:val="19"/>
                <w:szCs w:val="19"/>
              </w:rPr>
              <w:t xml:space="preserve">Security</w:t>
            </w:r>
          </w:p>
        </w:tc>
        <w:tc>
          <w:tcPr>
            <w:tcW w:type="dxa" w:w="2300"/>
            <w:tcBorders>
              <w:top w:val="single" w:color="AAAAAA" w:sz="1"/>
              <w:left w:val="single" w:color="AAAAAA" w:sz="1"/>
              <w:bottom w:val="single" w:color="AAAAAA" w:sz="1"/>
              <w:right w:val="single" w:color="AAAAAA" w:sz="1"/>
            </w:tcBorders>
            <w:shd w:fill="F8FB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STRENGTH: An existing perimeter firewall demonstrates baseline awareness of network security.
WEAKNESS: Security groups are overly permissive, no encryption at rest or in transit, no identity federation, and no secrets management for database credentials.</w:t>
            </w:r>
          </w:p>
        </w:tc>
        <w:tc>
          <w:tcPr>
            <w:tcW w:type="dxa" w:w="2400"/>
            <w:tcBorders>
              <w:top w:val="single" w:color="AAAAAA" w:sz="1"/>
              <w:left w:val="single" w:color="AAAAAA" w:sz="1"/>
              <w:bottom w:val="single" w:color="AAAAAA" w:sz="1"/>
              <w:right w:val="single" w:color="AAAAAA" w:sz="1"/>
            </w:tcBorders>
            <w:shd w:fill="F8FB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Apply least privilege across all layers. Restrict security groups so the DB tier accepts connections only from the app tier SG. Encrypt all data at rest and in transit. Rotate database credentials automatically.</w:t>
            </w:r>
          </w:p>
        </w:tc>
        <w:tc>
          <w:tcPr>
            <w:tcW w:type="dxa" w:w="3060"/>
            <w:tcBorders>
              <w:top w:val="single" w:color="AAAAAA" w:sz="1"/>
              <w:left w:val="single" w:color="AAAAAA" w:sz="1"/>
              <w:bottom w:val="single" w:color="AAAAAA" w:sz="1"/>
              <w:right w:val="single" w:color="AAAAAA" w:sz="1"/>
            </w:tcBorders>
            <w:shd w:fill="F8FB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AWS IAM (least-privilege access)
Amazon VPC + Security Groups &amp; NACLs
AWS KMS (encryption)
AWS Secrets Manager (credential rotation)
Amazon GuardDuty (threat detection)
AWS CloudTrail (audit logging)</w:t>
            </w:r>
          </w:p>
        </w:tc>
      </w:tr>
      <w:tr>
        <w:tc>
          <w:tcPr>
            <w:tcW w:type="dxa" w:w="1600"/>
            <w:tcBorders>
              <w:top w:val="single" w:color="375623" w:sz="1"/>
              <w:left w:val="single" w:color="375623" w:sz="1"/>
              <w:bottom w:val="single" w:color="375623" w:sz="1"/>
              <w:right w:val="single" w:color="375623" w:sz="1"/>
            </w:tcBorders>
            <w:shd w:fill="E2EFDA" w:val="clear"/>
            <w:tcMar>
              <w:top w:type="dxa" w:w="100"/>
              <w:left w:type="dxa" w:w="140"/>
              <w:bottom w:type="dxa" w:w="100"/>
              <w:right w:type="dxa" w:w="140"/>
            </w:tcMar>
            <w:vAlign w:val="center"/>
          </w:tcPr>
          <w:p>
            <w:pPr>
              <w:spacing w:after="0"/>
              <w:jc w:val="left"/>
            </w:pPr>
            <w:r>
              <w:rPr>
                <w:rFonts w:ascii="Arial" w:cs="Arial" w:eastAsia="Arial" w:hAnsi="Arial"/>
                <w:b/>
                <w:bCs/>
                <w:color w:val="375623"/>
                <w:sz w:val="19"/>
                <w:szCs w:val="19"/>
              </w:rPr>
              <w:t xml:space="preserve">Reliability</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STRENGTH: The core application logic is proven and stable from its on-premises operational history.
WEAKNESS: Single point of failure at every layer — one web server, one database server, single-AZ equivalent. No automated failover, no backup strategy, and no defined RTO/RPO.</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Deploy across multiple Availability Zones to eliminate single points of failure. Use RDS Multi-AZ for automated failover. Place web servers behind an ALB with health checks. Define and test RTO and RPO targets.</w:t>
            </w:r>
          </w:p>
        </w:tc>
        <w:tc>
          <w:tcPr>
            <w:tcW w:type="dxa" w:w="3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Elastic Load Balancing / ALB (traffic distribution)
Amazon RDS Multi-AZ (automated failover &amp; backups)
Amazon Route 53 (DNS failover routing)
AWS Backup (centralised backup policies)</w:t>
            </w:r>
          </w:p>
        </w:tc>
      </w:tr>
      <w:tr>
        <w:tc>
          <w:tcPr>
            <w:tcW w:type="dxa" w:w="1600"/>
            <w:tcBorders>
              <w:top w:val="single" w:color="4B2C7E" w:sz="1"/>
              <w:left w:val="single" w:color="4B2C7E" w:sz="1"/>
              <w:bottom w:val="single" w:color="4B2C7E" w:sz="1"/>
              <w:right w:val="single" w:color="4B2C7E" w:sz="1"/>
            </w:tcBorders>
            <w:shd w:fill="EAE4F5" w:val="clear"/>
            <w:tcMar>
              <w:top w:type="dxa" w:w="100"/>
              <w:left w:type="dxa" w:w="140"/>
              <w:bottom w:type="dxa" w:w="100"/>
              <w:right w:type="dxa" w:w="140"/>
            </w:tcMar>
            <w:vAlign w:val="center"/>
          </w:tcPr>
          <w:p>
            <w:pPr>
              <w:spacing w:after="0"/>
              <w:jc w:val="left"/>
            </w:pPr>
            <w:r>
              <w:rPr>
                <w:rFonts w:ascii="Arial" w:cs="Arial" w:eastAsia="Arial" w:hAnsi="Arial"/>
                <w:b/>
                <w:bCs/>
                <w:color w:val="4B2C7E"/>
                <w:sz w:val="19"/>
                <w:szCs w:val="19"/>
              </w:rPr>
              <w:t xml:space="preserve">Performance Efficiency</w:t>
            </w:r>
          </w:p>
        </w:tc>
        <w:tc>
          <w:tcPr>
            <w:tcW w:type="dxa" w:w="2300"/>
            <w:tcBorders>
              <w:top w:val="single" w:color="AAAAAA" w:sz="1"/>
              <w:left w:val="single" w:color="AAAAAA" w:sz="1"/>
              <w:bottom w:val="single" w:color="AAAAAA" w:sz="1"/>
              <w:right w:val="single" w:color="AAAAAA" w:sz="1"/>
            </w:tcBorders>
            <w:shd w:fill="F8FB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STRENGTH: Simple architecture makes it easy to reason about and isolate performance bottlenecks.
WEAKNESS: Cannot scale horizontally. No caching layer, no CDN, and servers are statically provisioned for peak load, leaving them idle most of the time.</w:t>
            </w:r>
          </w:p>
        </w:tc>
        <w:tc>
          <w:tcPr>
            <w:tcW w:type="dxa" w:w="2400"/>
            <w:tcBorders>
              <w:top w:val="single" w:color="AAAAAA" w:sz="1"/>
              <w:left w:val="single" w:color="AAAAAA" w:sz="1"/>
              <w:bottom w:val="single" w:color="AAAAAA" w:sz="1"/>
              <w:right w:val="single" w:color="AAAAAA" w:sz="1"/>
            </w:tcBorders>
            <w:shd w:fill="F8FB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Introduce auto-scaling for the web tier so capacity matches actual demand. Add a caching layer in front of the database. Serve static assets through a CDN. Right-size compute using Compute Optimizer recommendations.</w:t>
            </w:r>
          </w:p>
        </w:tc>
        <w:tc>
          <w:tcPr>
            <w:tcW w:type="dxa" w:w="3060"/>
            <w:tcBorders>
              <w:top w:val="single" w:color="AAAAAA" w:sz="1"/>
              <w:left w:val="single" w:color="AAAAAA" w:sz="1"/>
              <w:bottom w:val="single" w:color="AAAAAA" w:sz="1"/>
              <w:right w:val="single" w:color="AAAAAA" w:sz="1"/>
            </w:tcBorders>
            <w:shd w:fill="F8FB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Amazon EC2 Auto Scaling (horizontal scaling)
Amazon ElastiCache for Redis (in-memory caching)
Amazon CloudFront (CDN for static assets)
AWS Compute Optimizer (right-sizing)</w:t>
            </w:r>
          </w:p>
        </w:tc>
      </w:tr>
      <w:tr>
        <w:tc>
          <w:tcPr>
            <w:tcW w:type="dxa" w:w="1600"/>
            <w:tcBorders>
              <w:top w:val="single" w:color="9C6500" w:sz="1"/>
              <w:left w:val="single" w:color="9C6500" w:sz="1"/>
              <w:bottom w:val="single" w:color="9C6500" w:sz="1"/>
              <w:right w:val="single" w:color="9C6500" w:sz="1"/>
            </w:tcBorders>
            <w:shd w:fill="FFEB9C" w:val="clear"/>
            <w:tcMar>
              <w:top w:type="dxa" w:w="100"/>
              <w:left w:type="dxa" w:w="140"/>
              <w:bottom w:type="dxa" w:w="100"/>
              <w:right w:type="dxa" w:w="140"/>
            </w:tcMar>
            <w:vAlign w:val="center"/>
          </w:tcPr>
          <w:p>
            <w:pPr>
              <w:spacing w:after="0"/>
              <w:jc w:val="left"/>
            </w:pPr>
            <w:r>
              <w:rPr>
                <w:rFonts w:ascii="Arial" w:cs="Arial" w:eastAsia="Arial" w:hAnsi="Arial"/>
                <w:b/>
                <w:bCs/>
                <w:color w:val="9C6500"/>
                <w:sz w:val="19"/>
                <w:szCs w:val="19"/>
              </w:rPr>
              <w:t xml:space="preserve">Cost Optimization</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STRENGTH: Migrating to AWS immediately eliminates large CapEx hardware refreshes, replacing them with a predictable OpEx model.
WEAKNESS: Without a cost management strategy, cloud spend can grow uncontrolled through idle resources and lack of commitment-based pricing.</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Implement cost visibility from day one using Cost Explorer and budget alerts. Use Reserved Instances or Savings Plans for stable baseline workloads. Tag all resources for cost allocation. Enable Auto Scaling to eliminate idle capacity.</w:t>
            </w:r>
          </w:p>
        </w:tc>
        <w:tc>
          <w:tcPr>
            <w:tcW w:type="dxa" w:w="3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AWS Cost Explorer (cost analysis &amp; forecasting)
AWS Budgets (spend alerts)
EC2 Reserved Instances / Savings Plans
AWS Trusted Advisor (cost optimisation checks)</w:t>
            </w:r>
          </w:p>
        </w:tc>
      </w:tr>
    </w:tbl>
    <w:p>
      <w:pPr>
        <w:spacing w:after="0"/>
      </w:pPr>
      <w:r>
        <w:br w:type="page"/>
      </w:r>
    </w:p>
    <w:p>
      <w:pPr>
        <w:spacing w:before="400" w:after="180"/>
      </w:pPr>
      <w:r>
        <w:rPr>
          <w:rFonts w:ascii="Arial" w:cs="Arial" w:eastAsia="Arial" w:hAnsi="Arial"/>
          <w:b/>
          <w:bCs/>
          <w:color w:val="1F4E79"/>
          <w:sz w:val="30"/>
          <w:szCs w:val="30"/>
        </w:rPr>
        <w:t xml:space="preserve">Task 3 — </w:t>
      </w:r>
      <w:r>
        <w:rPr>
          <w:rFonts w:ascii="Arial" w:cs="Arial" w:eastAsia="Arial" w:hAnsi="Arial"/>
          <w:color w:val="1F4E79"/>
          <w:sz w:val="30"/>
          <w:szCs w:val="30"/>
        </w:rPr>
        <w:t xml:space="preserve">AWS Cloud Adoption Framework (CAF) Readiness Analysis</w:t>
      </w:r>
    </w:p>
    <w:p>
      <w:pPr>
        <w:spacing w:after="200"/>
        <w:jc w:val="left"/>
      </w:pPr>
      <w:r>
        <w:rPr>
          <w:rFonts w:ascii="Arial" w:cs="Arial" w:eastAsia="Arial" w:hAnsi="Arial"/>
          <w:i/>
          <w:iCs/>
          <w:sz w:val="20"/>
          <w:szCs w:val="20"/>
        </w:rPr>
        <w:t xml:space="preserve">The table below assesses the organisation's readiness for cloud transformation across all six CAF perspectives, identifying the current state, key gaps, and specific enablers required for a successful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CAF Perspective</w:t>
            </w:r>
          </w:p>
        </w:tc>
        <w:tc>
          <w:tcPr>
            <w:tcW w:type="dxa" w:w="756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Readiness Summary (Current State, Gaps &amp; Key Enablers)</w:t>
            </w:r>
          </w:p>
        </w:tc>
      </w:tr>
      <w:tr>
        <w:tc>
          <w:tcPr>
            <w:tcW w:type="dxa" w:w="1800"/>
            <w:tcBorders>
              <w:top w:val="single" w:color="2E74B5" w:sz="1"/>
              <w:left w:val="single" w:color="2E74B5" w:sz="1"/>
              <w:bottom w:val="single" w:color="2E74B5" w:sz="1"/>
              <w:right w:val="single" w:color="2E74B5" w:sz="1"/>
            </w:tcBorders>
            <w:shd w:fill="EAF3FB" w:val="clear"/>
            <w:tcMar>
              <w:top w:type="dxa" w:w="100"/>
              <w:left w:type="dxa" w:w="140"/>
              <w:bottom w:type="dxa" w:w="100"/>
              <w:right w:type="dxa" w:w="140"/>
            </w:tcMar>
            <w:vAlign w:val="center"/>
          </w:tcPr>
          <w:p>
            <w:pPr>
              <w:spacing w:after="0"/>
              <w:jc w:val="left"/>
            </w:pPr>
            <w:r>
              <w:rPr>
                <w:rFonts w:ascii="Arial" w:cs="Arial" w:eastAsia="Arial" w:hAnsi="Arial"/>
                <w:b/>
                <w:bCs/>
                <w:color w:val="2E74B5"/>
                <w:sz w:val="19"/>
                <w:szCs w:val="19"/>
              </w:rPr>
              <w:t xml:space="preserve">1. Business</w:t>
            </w:r>
          </w:p>
        </w:tc>
        <w:tc>
          <w:tcPr>
            <w:tcW w:type="dxa" w:w="7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100"/>
            </w:pPr>
            <w:r>
              <w:rPr>
                <w:rFonts w:ascii="Arial" w:cs="Arial" w:eastAsia="Arial" w:hAnsi="Arial"/>
                <w:b w:val="false"/>
                <w:bCs w:val="false"/>
                <w:sz w:val="20"/>
                <w:szCs w:val="20"/>
              </w:rPr>
              <w:t xml:space="preserve">The Business perspective ensures that cloud investments deliver measurable business value aligned with organisational strategy. For this migration, the primary drivers are improved application availability, faster time-to-market through CI/CD pipelines, and reduced total cost of ownership by eliminating on-premises hardware maintenance.</w:t>
            </w:r>
          </w:p>
          <w:p>
            <w:pPr>
              <w:spacing w:after="100"/>
            </w:pPr>
            <w:r>
              <w:rPr>
                <w:rFonts w:ascii="Arial" w:cs="Arial" w:eastAsia="Arial" w:hAnsi="Arial"/>
                <w:b w:val="false"/>
                <w:bCs w:val="false"/>
                <w:sz w:val="20"/>
                <w:szCs w:val="20"/>
              </w:rPr>
              <w:t xml:space="preserve">Currently, the organisation lacks a formal cloud business case with defined KPIs. There is no Cloud ROI model quantifying cost savings versus on-premises, and no formal Service Level Agreements defining availability targets.</w:t>
            </w:r>
          </w:p>
          <w:p>
            <w:pPr>
              <w:spacing w:after="0"/>
            </w:pPr>
            <w:r>
              <w:rPr>
                <w:rFonts w:ascii="Arial" w:cs="Arial" w:eastAsia="Arial" w:hAnsi="Arial"/>
                <w:b/>
                <w:bCs/>
                <w:sz w:val="20"/>
                <w:szCs w:val="20"/>
              </w:rPr>
              <w:t xml:space="preserve">KEY ENABLERS: Develop a Cloud Business Case comparing 3-year TCO (on-premises vs. AWS). Define measurable success KPIs: target uptime (99.9%), deployment frequency, and MTTR. Align migration milestones with business planning cycles. Identify executive sponsors to champion cloud adoption.</w:t>
            </w:r>
          </w:p>
        </w:tc>
      </w:tr>
      <w:tr>
        <w:tc>
          <w:tcPr>
            <w:tcW w:type="dxa" w:w="1800"/>
            <w:tcBorders>
              <w:top w:val="single" w:color="375623" w:sz="1"/>
              <w:left w:val="single" w:color="375623" w:sz="1"/>
              <w:bottom w:val="single" w:color="375623" w:sz="1"/>
              <w:right w:val="single" w:color="375623" w:sz="1"/>
            </w:tcBorders>
            <w:shd w:fill="E2EFDA" w:val="clear"/>
            <w:tcMar>
              <w:top w:type="dxa" w:w="100"/>
              <w:left w:type="dxa" w:w="140"/>
              <w:bottom w:type="dxa" w:w="100"/>
              <w:right w:type="dxa" w:w="140"/>
            </w:tcMar>
            <w:vAlign w:val="center"/>
          </w:tcPr>
          <w:p>
            <w:pPr>
              <w:spacing w:after="0"/>
              <w:jc w:val="left"/>
            </w:pPr>
            <w:r>
              <w:rPr>
                <w:rFonts w:ascii="Arial" w:cs="Arial" w:eastAsia="Arial" w:hAnsi="Arial"/>
                <w:b/>
                <w:bCs/>
                <w:color w:val="375623"/>
                <w:sz w:val="19"/>
                <w:szCs w:val="19"/>
              </w:rPr>
              <w:t xml:space="preserve">2. People</w:t>
            </w:r>
          </w:p>
        </w:tc>
        <w:tc>
          <w:tcPr>
            <w:tcW w:type="dxa" w:w="7560"/>
            <w:tcBorders>
              <w:top w:val="single" w:color="AAAAAA" w:sz="1"/>
              <w:left w:val="single" w:color="AAAAAA" w:sz="1"/>
              <w:bottom w:val="single" w:color="AAAAAA" w:sz="1"/>
              <w:right w:val="single" w:color="AAAAAA" w:sz="1"/>
            </w:tcBorders>
            <w:shd w:fill="FAFAFA" w:val="clear"/>
            <w:tcMar>
              <w:top w:type="dxa" w:w="100"/>
              <w:left w:type="dxa" w:w="140"/>
              <w:bottom w:type="dxa" w:w="100"/>
              <w:right w:type="dxa" w:w="140"/>
            </w:tcMar>
            <w:vAlign w:val="top"/>
          </w:tcPr>
          <w:p>
            <w:pPr>
              <w:spacing w:after="100"/>
            </w:pPr>
            <w:r>
              <w:rPr>
                <w:rFonts w:ascii="Arial" w:cs="Arial" w:eastAsia="Arial" w:hAnsi="Arial"/>
                <w:b w:val="false"/>
                <w:bCs w:val="false"/>
                <w:sz w:val="20"/>
                <w:szCs w:val="20"/>
              </w:rPr>
              <w:t xml:space="preserve">The People perspective addresses the human and cultural changes required for cloud adoption. Migration is not only a technology change — it requires new skills, new ways of working, and a cultural shift from a reactive "keep the lights on" model to a proactive DevOps culture.</w:t>
            </w:r>
          </w:p>
          <w:p>
            <w:pPr>
              <w:spacing w:after="100"/>
            </w:pPr>
            <w:r>
              <w:rPr>
                <w:rFonts w:ascii="Arial" w:cs="Arial" w:eastAsia="Arial" w:hAnsi="Arial"/>
                <w:b w:val="false"/>
                <w:bCs w:val="false"/>
                <w:sz w:val="20"/>
                <w:szCs w:val="20"/>
              </w:rPr>
              <w:t xml:space="preserve">Currently, the IT team has strong on-premises expertise but limited cloud-native skills. There are no AWS-certified personnel, no dedicated cloud team, and no formal training programme. Team members may feel uncertain or resistant, viewing cloud adoption as a threat to existing roles.</w:t>
            </w:r>
          </w:p>
          <w:p>
            <w:pPr>
              <w:spacing w:after="0"/>
            </w:pPr>
            <w:r>
              <w:rPr>
                <w:rFonts w:ascii="Arial" w:cs="Arial" w:eastAsia="Arial" w:hAnsi="Arial"/>
                <w:b/>
                <w:bCs/>
                <w:sz w:val="20"/>
                <w:szCs w:val="20"/>
              </w:rPr>
              <w:t xml:space="preserve">KEY ENABLERS: Launch an AWS Skills Training Programme (Cloud Practitioner and Solutions Architect Associate certifications). Establish a Cloud Centre of Excellence (CCoE). Communicate clearly that cloud adoption creates new, higher-value engineering roles. Introduce DevOps practices gradually, starting with CI/CD pipelines.</w:t>
            </w:r>
          </w:p>
        </w:tc>
      </w:tr>
      <w:tr>
        <w:tc>
          <w:tcPr>
            <w:tcW w:type="dxa" w:w="1800"/>
            <w:tcBorders>
              <w:top w:val="single" w:color="4B2C7E" w:sz="1"/>
              <w:left w:val="single" w:color="4B2C7E" w:sz="1"/>
              <w:bottom w:val="single" w:color="4B2C7E" w:sz="1"/>
              <w:right w:val="single" w:color="4B2C7E" w:sz="1"/>
            </w:tcBorders>
            <w:shd w:fill="EAE4F5" w:val="clear"/>
            <w:tcMar>
              <w:top w:type="dxa" w:w="100"/>
              <w:left w:type="dxa" w:w="140"/>
              <w:bottom w:type="dxa" w:w="100"/>
              <w:right w:type="dxa" w:w="140"/>
            </w:tcMar>
            <w:vAlign w:val="center"/>
          </w:tcPr>
          <w:p>
            <w:pPr>
              <w:spacing w:after="0"/>
              <w:jc w:val="left"/>
            </w:pPr>
            <w:r>
              <w:rPr>
                <w:rFonts w:ascii="Arial" w:cs="Arial" w:eastAsia="Arial" w:hAnsi="Arial"/>
                <w:b/>
                <w:bCs/>
                <w:color w:val="4B2C7E"/>
                <w:sz w:val="19"/>
                <w:szCs w:val="19"/>
              </w:rPr>
              <w:t xml:space="preserve">3. Governance</w:t>
            </w:r>
          </w:p>
        </w:tc>
        <w:tc>
          <w:tcPr>
            <w:tcW w:type="dxa" w:w="7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100"/>
            </w:pPr>
            <w:r>
              <w:rPr>
                <w:rFonts w:ascii="Arial" w:cs="Arial" w:eastAsia="Arial" w:hAnsi="Arial"/>
                <w:b w:val="false"/>
                <w:bCs w:val="false"/>
                <w:sz w:val="20"/>
                <w:szCs w:val="20"/>
              </w:rPr>
              <w:t xml:space="preserve">The Governance perspective ensures that cloud usage is controlled, compliant, and accountable. Without governance guardrails, cloud environments rapidly accumulate unmanaged resources and compliance violations. This is critical because the application likely handles personal data subject to Ghana's Data Protection Act (Act 843).</w:t>
            </w:r>
          </w:p>
          <w:p>
            <w:pPr>
              <w:spacing w:after="100"/>
            </w:pPr>
            <w:r>
              <w:rPr>
                <w:rFonts w:ascii="Arial" w:cs="Arial" w:eastAsia="Arial" w:hAnsi="Arial"/>
                <w:b w:val="false"/>
                <w:bCs w:val="false"/>
                <w:sz w:val="20"/>
                <w:szCs w:val="20"/>
              </w:rPr>
              <w:t xml:space="preserve">Currently, there is no cloud governance policy, no tagging strategy, no resource lifecycle management process, and no formal risk management framework for cloud operations. There are no defined approval workflows for provisioning new cloud resources.</w:t>
            </w:r>
          </w:p>
          <w:p>
            <w:pPr>
              <w:spacing w:after="0"/>
            </w:pPr>
            <w:r>
              <w:rPr>
                <w:rFonts w:ascii="Arial" w:cs="Arial" w:eastAsia="Arial" w:hAnsi="Arial"/>
                <w:b/>
                <w:bCs/>
                <w:sz w:val="20"/>
                <w:szCs w:val="20"/>
              </w:rPr>
              <w:t xml:space="preserve">KEY ENABLERS: Implement AWS Organizations with Service Control Policies (SCPs) to enforce guardrails. Define a mandatory tagging strategy (Owner, Environment, CostCenter, Project). Establish a Cloud Governance Board. Use AWS Config and AWS Security Hub to continuously audit compliance and flag drift automatically.</w:t>
            </w:r>
          </w:p>
        </w:tc>
      </w:tr>
      <w:tr>
        <w:tc>
          <w:tcPr>
            <w:tcW w:type="dxa" w:w="1800"/>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vAlign w:val="center"/>
          </w:tcPr>
          <w:p>
            <w:pPr>
              <w:spacing w:after="0"/>
              <w:jc w:val="left"/>
            </w:pPr>
            <w:r>
              <w:rPr>
                <w:rFonts w:ascii="Arial" w:cs="Arial" w:eastAsia="Arial" w:hAnsi="Arial"/>
                <w:b/>
                <w:bCs/>
                <w:color w:val="C55A11"/>
                <w:sz w:val="19"/>
                <w:szCs w:val="19"/>
              </w:rPr>
              <w:t xml:space="preserve">4. Platform</w:t>
            </w:r>
          </w:p>
        </w:tc>
        <w:tc>
          <w:tcPr>
            <w:tcW w:type="dxa" w:w="7560"/>
            <w:tcBorders>
              <w:top w:val="single" w:color="AAAAAA" w:sz="1"/>
              <w:left w:val="single" w:color="AAAAAA" w:sz="1"/>
              <w:bottom w:val="single" w:color="AAAAAA" w:sz="1"/>
              <w:right w:val="single" w:color="AAAAAA" w:sz="1"/>
            </w:tcBorders>
            <w:shd w:fill="FAFAFA" w:val="clear"/>
            <w:tcMar>
              <w:top w:type="dxa" w:w="100"/>
              <w:left w:type="dxa" w:w="140"/>
              <w:bottom w:type="dxa" w:w="100"/>
              <w:right w:type="dxa" w:w="140"/>
            </w:tcMar>
            <w:vAlign w:val="top"/>
          </w:tcPr>
          <w:p>
            <w:pPr>
              <w:spacing w:after="100"/>
            </w:pPr>
            <w:r>
              <w:rPr>
                <w:rFonts w:ascii="Arial" w:cs="Arial" w:eastAsia="Arial" w:hAnsi="Arial"/>
                <w:b w:val="false"/>
                <w:bCs w:val="false"/>
                <w:sz w:val="20"/>
                <w:szCs w:val="20"/>
              </w:rPr>
              <w:t xml:space="preserve">The Platform perspective covers the design and implementation of cloud infrastructure — the landing zone, network topology, compute, storage, and managed services. A well-designed platform provides a stable and scalable foundation for all workloads.</w:t>
            </w:r>
          </w:p>
          <w:p>
            <w:pPr>
              <w:spacing w:after="100"/>
            </w:pPr>
            <w:r>
              <w:rPr>
                <w:rFonts w:ascii="Arial" w:cs="Arial" w:eastAsia="Arial" w:hAnsi="Arial"/>
                <w:b w:val="false"/>
                <w:bCs w:val="false"/>
                <w:sz w:val="20"/>
                <w:szCs w:val="20"/>
              </w:rPr>
              <w:t xml:space="preserve">Currently, the organisation has no AWS landing zone, no VPC design, and no understanding of AWS shared responsibility boundaries. The team is accustomed to managing physical hardware and may attempt a direct lift-and-shift without leveraging managed services.</w:t>
            </w:r>
          </w:p>
          <w:p>
            <w:pPr>
              <w:spacing w:after="0"/>
            </w:pPr>
            <w:r>
              <w:rPr>
                <w:rFonts w:ascii="Arial" w:cs="Arial" w:eastAsia="Arial" w:hAnsi="Arial"/>
                <w:b/>
                <w:bCs/>
                <w:sz w:val="20"/>
                <w:szCs w:val="20"/>
              </w:rPr>
              <w:t xml:space="preserve">KEY ENABLERS: Deploy an AWS Landing Zone using AWS Control Tower for a multi-account structure. Build a VPC with public, private, and isolated DB subnets across two AZs. Replace the self-managed database with Amazon RDS. Adopt CloudFormation or Terraform as the only approved method for resource provisioning — no manual console deployments in production.</w:t>
            </w:r>
          </w:p>
        </w:tc>
      </w:tr>
      <w:tr>
        <w:tc>
          <w:tcPr>
            <w:tcW w:type="dxa" w:w="1800"/>
            <w:tcBorders>
              <w:top w:val="single" w:color="9C0006" w:sz="1"/>
              <w:left w:val="single" w:color="9C0006" w:sz="1"/>
              <w:bottom w:val="single" w:color="9C0006" w:sz="1"/>
              <w:right w:val="single" w:color="9C0006" w:sz="1"/>
            </w:tcBorders>
            <w:shd w:fill="FFC7CE" w:val="clear"/>
            <w:tcMar>
              <w:top w:type="dxa" w:w="100"/>
              <w:left w:type="dxa" w:w="140"/>
              <w:bottom w:type="dxa" w:w="100"/>
              <w:right w:type="dxa" w:w="140"/>
            </w:tcMar>
            <w:vAlign w:val="center"/>
          </w:tcPr>
          <w:p>
            <w:pPr>
              <w:spacing w:after="0"/>
              <w:jc w:val="left"/>
            </w:pPr>
            <w:r>
              <w:rPr>
                <w:rFonts w:ascii="Arial" w:cs="Arial" w:eastAsia="Arial" w:hAnsi="Arial"/>
                <w:b/>
                <w:bCs/>
                <w:color w:val="9C0006"/>
                <w:sz w:val="19"/>
                <w:szCs w:val="19"/>
              </w:rPr>
              <w:t xml:space="preserve">5. Security</w:t>
            </w:r>
          </w:p>
        </w:tc>
        <w:tc>
          <w:tcPr>
            <w:tcW w:type="dxa" w:w="7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100"/>
            </w:pPr>
            <w:r>
              <w:rPr>
                <w:rFonts w:ascii="Arial" w:cs="Arial" w:eastAsia="Arial" w:hAnsi="Arial"/>
                <w:b w:val="false"/>
                <w:bCs w:val="false"/>
                <w:sz w:val="20"/>
                <w:szCs w:val="20"/>
              </w:rPr>
              <w:t xml:space="preserve">The Security perspective ensures that the cloud environment is protected across all layers — identity, data, network, and infrastructure — and that the organisation meets its compliance obligations under the AWS Shared Responsibility Model.</w:t>
            </w:r>
          </w:p>
          <w:p>
            <w:pPr>
              <w:spacing w:after="100"/>
            </w:pPr>
            <w:r>
              <w:rPr>
                <w:rFonts w:ascii="Arial" w:cs="Arial" w:eastAsia="Arial" w:hAnsi="Arial"/>
                <w:b w:val="false"/>
                <w:bCs w:val="false"/>
                <w:sz w:val="20"/>
                <w:szCs w:val="20"/>
              </w:rPr>
              <w:t xml:space="preserve">Currently, security is limited to perimeter-based on-premises firewall rules. There is no identity federation, no secrets management, no data encryption strategy, and no security incident response plan for cloud environments. Security is treated as a perimeter concern rather than a defence-in-depth discipline.</w:t>
            </w:r>
          </w:p>
          <w:p>
            <w:pPr>
              <w:spacing w:after="0"/>
            </w:pPr>
            <w:r>
              <w:rPr>
                <w:rFonts w:ascii="Arial" w:cs="Arial" w:eastAsia="Arial" w:hAnsi="Arial"/>
                <w:b/>
                <w:bCs/>
                <w:sz w:val="20"/>
                <w:szCs w:val="20"/>
              </w:rPr>
              <w:t xml:space="preserve">KEY ENABLERS: Adopt a Zero-Trust security model. Enforce MFA for all AWS access via IAM Identity Center. Enable AWS CloudTrail in all regions from day one. Implement automated threat detection with Amazon GuardDuty and vulnerability scanning with Amazon Inspector. Encrypt all sensitive data at rest with KMS and in transit with TLS 1.3.</w:t>
            </w:r>
          </w:p>
        </w:tc>
      </w:tr>
      <w:tr>
        <w:tc>
          <w:tcPr>
            <w:tcW w:type="dxa" w:w="1800"/>
            <w:tcBorders>
              <w:top w:val="single" w:color="9C6500" w:sz="1"/>
              <w:left w:val="single" w:color="9C6500" w:sz="1"/>
              <w:bottom w:val="single" w:color="9C6500" w:sz="1"/>
              <w:right w:val="single" w:color="9C6500" w:sz="1"/>
            </w:tcBorders>
            <w:shd w:fill="FFEB9C" w:val="clear"/>
            <w:tcMar>
              <w:top w:type="dxa" w:w="100"/>
              <w:left w:type="dxa" w:w="140"/>
              <w:bottom w:type="dxa" w:w="100"/>
              <w:right w:type="dxa" w:w="140"/>
            </w:tcMar>
            <w:vAlign w:val="center"/>
          </w:tcPr>
          <w:p>
            <w:pPr>
              <w:spacing w:after="0"/>
              <w:jc w:val="left"/>
            </w:pPr>
            <w:r>
              <w:rPr>
                <w:rFonts w:ascii="Arial" w:cs="Arial" w:eastAsia="Arial" w:hAnsi="Arial"/>
                <w:b/>
                <w:bCs/>
                <w:color w:val="9C6500"/>
                <w:sz w:val="19"/>
                <w:szCs w:val="19"/>
              </w:rPr>
              <w:t xml:space="preserve">6. Operations</w:t>
            </w:r>
          </w:p>
        </w:tc>
        <w:tc>
          <w:tcPr>
            <w:tcW w:type="dxa" w:w="7560"/>
            <w:tcBorders>
              <w:top w:val="single" w:color="AAAAAA" w:sz="1"/>
              <w:left w:val="single" w:color="AAAAAA" w:sz="1"/>
              <w:bottom w:val="single" w:color="AAAAAA" w:sz="1"/>
              <w:right w:val="single" w:color="AAAAAA" w:sz="1"/>
            </w:tcBorders>
            <w:shd w:fill="FAFAFA" w:val="clear"/>
            <w:tcMar>
              <w:top w:type="dxa" w:w="100"/>
              <w:left w:type="dxa" w:w="140"/>
              <w:bottom w:type="dxa" w:w="100"/>
              <w:right w:type="dxa" w:w="140"/>
            </w:tcMar>
            <w:vAlign w:val="top"/>
          </w:tcPr>
          <w:p>
            <w:pPr>
              <w:spacing w:after="100"/>
            </w:pPr>
            <w:r>
              <w:rPr>
                <w:rFonts w:ascii="Arial" w:cs="Arial" w:eastAsia="Arial" w:hAnsi="Arial"/>
                <w:b w:val="false"/>
                <w:bCs w:val="false"/>
                <w:sz w:val="20"/>
                <w:szCs w:val="20"/>
              </w:rPr>
              <w:t xml:space="preserve">The Operations perspective ensures that the cloud environment can be monitored, managed, and continuously improved after migration. Effective cloud operations replace reactive firefighting with proactive, automated responses to events.</w:t>
            </w:r>
          </w:p>
          <w:p>
            <w:pPr>
              <w:spacing w:after="100"/>
            </w:pPr>
            <w:r>
              <w:rPr>
                <w:rFonts w:ascii="Arial" w:cs="Arial" w:eastAsia="Arial" w:hAnsi="Arial"/>
                <w:b w:val="false"/>
                <w:bCs w:val="false"/>
                <w:sz w:val="20"/>
                <w:szCs w:val="20"/>
              </w:rPr>
              <w:t xml:space="preserve">Currently, operations are entirely reactive. Monitoring is limited to OS-level metrics, there are no automated alerts, incident response is manual, and there is no defined change management process. The team has no experience with cloud-native operations tools.</w:t>
            </w:r>
          </w:p>
          <w:p>
            <w:pPr>
              <w:spacing w:after="0"/>
            </w:pPr>
            <w:r>
              <w:rPr>
                <w:rFonts w:ascii="Arial" w:cs="Arial" w:eastAsia="Arial" w:hAnsi="Arial"/>
                <w:b/>
                <w:bCs/>
                <w:sz w:val="20"/>
                <w:szCs w:val="20"/>
              </w:rPr>
              <w:t xml:space="preserve">KEY ENABLERS: Deploy a full observability stack from day one — CloudWatch for metrics and logs, X-Ray for distributed tracing, and CloudWatch Dashboards for visibility. Automate runbooks using AWS Systems Manager. Establish an incident management process with defined severity levels and post-incident reviews. Implement a formal change management process: all changes via CI/CD pipeline; AWS Config to detect and alert on configuration drift.</w:t>
            </w:r>
          </w:p>
        </w:tc>
      </w:tr>
    </w:tbl>
    <w:p>
      <w:pPr>
        <w:spacing w:after="0"/>
      </w:pPr>
      <w:r>
        <w:br w:type="page"/>
      </w:r>
    </w:p>
    <w:p>
      <w:pPr>
        <w:spacing w:before="400" w:after="180"/>
      </w:pPr>
      <w:r>
        <w:rPr>
          <w:rFonts w:ascii="Arial" w:cs="Arial" w:eastAsia="Arial" w:hAnsi="Arial"/>
          <w:b/>
          <w:bCs/>
          <w:color w:val="1F4E79"/>
          <w:sz w:val="30"/>
          <w:szCs w:val="30"/>
        </w:rPr>
        <w:t xml:space="preserve">Task 4 — </w:t>
      </w:r>
      <w:r>
        <w:rPr>
          <w:rFonts w:ascii="Arial" w:cs="Arial" w:eastAsia="Arial" w:hAnsi="Arial"/>
          <w:color w:val="1F4E79"/>
          <w:sz w:val="30"/>
          <w:szCs w:val="30"/>
        </w:rPr>
        <w:t xml:space="preserve">Improved Architecture Design</w:t>
      </w:r>
    </w:p>
    <w:p>
      <w:pPr>
        <w:spacing w:before="220" w:after="100"/>
      </w:pPr>
      <w:r>
        <w:rPr>
          <w:rFonts w:ascii="Arial" w:cs="Arial" w:eastAsia="Arial" w:hAnsi="Arial"/>
          <w:b/>
          <w:bCs/>
          <w:color w:val="2E74B5"/>
          <w:sz w:val="22"/>
          <w:szCs w:val="22"/>
        </w:rPr>
        <w:t xml:space="preserve">4.1 VPC Network Design</w:t>
      </w:r>
    </w:p>
    <w:p>
      <w:pPr>
        <w:spacing w:after="120"/>
        <w:jc w:val="left"/>
      </w:pPr>
      <w:r>
        <w:rPr>
          <w:rFonts w:ascii="Arial" w:cs="Arial" w:eastAsia="Arial" w:hAnsi="Arial"/>
          <w:sz w:val="20"/>
          <w:szCs w:val="20"/>
        </w:rPr>
        <w:t xml:space="preserve">The revised architecture is deployed in AWS Region af-south-1 (Cape Town) across two Availability Zones. Three subnet tiers provide network segmentation and defence-in-depth:</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Public Subnets (10.0.1.0/24, 10.0.4.0/24) — Host the Application Load Balancer nodes and NAT Gateways. Internet-facing, but no application servers reside here.</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Private Subnets (10.0.2.0/24, 10.0.5.0/24) — Host EC2 web server instances within an Auto Scaling Group. No public IP addresses. Outbound internet access via NAT Gateway.</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Isolated DB Subnets (10.0.3.0/24, 10.0.6.0/24) — Host the Amazon RDS Multi-AZ cluster. No internet access of any kind. Accessible only from the private subnet EC2 security group.</w:t>
      </w:r>
    </w:p>
    <w:p>
      <w:pPr>
        <w:spacing w:after="80"/>
        <w:jc w:val="left"/>
      </w:pPr>
      <w:r>
        <w:rPr>
          <w:rFonts w:ascii="Arial" w:cs="Arial" w:eastAsia="Arial" w:hAnsi="Arial"/>
          <w:sz w:val="20"/>
          <w:szCs w:val="20"/>
        </w:rPr>
        <w:t xml:space="preserve"/>
      </w:r>
    </w:p>
    <w:p>
      <w:pPr>
        <w:spacing w:before="220" w:after="100"/>
      </w:pPr>
      <w:r>
        <w:rPr>
          <w:rFonts w:ascii="Arial" w:cs="Arial" w:eastAsia="Arial" w:hAnsi="Arial"/>
          <w:b/>
          <w:bCs/>
          <w:color w:val="2E74B5"/>
          <w:sz w:val="22"/>
          <w:szCs w:val="22"/>
        </w:rPr>
        <w:t xml:space="preserve">4.2 Traffic Flow (Request Path)</w:t>
      </w:r>
    </w:p>
    <w:p>
      <w:pPr>
        <w:spacing w:after="120"/>
        <w:jc w:val="left"/>
      </w:pPr>
      <w:r>
        <w:rPr>
          <w:rFonts w:ascii="Arial" w:cs="Arial" w:eastAsia="Arial" w:hAnsi="Arial"/>
          <w:sz w:val="20"/>
          <w:szCs w:val="20"/>
        </w:rPr>
        <w:t xml:space="preserve">The improved request path from end user to database is:</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Step 1: User request hits Amazon CloudFront. Static assets (HTML, CSS, JS, images) are served directly from the nearest edge location — no origin request required.</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Step 2: Dynamic requests are forwarded to the Application Load Balancer (ALB) over HTTPS. HTTP connections are automatically redirected to HTTPS. The ALB performs health checks on EC2 targets every 30 seconds.</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Step 3: The ALB routes the request to a healthy EC2 instance in either AZ-A or AZ-B. EC2 instances run in private subnets with no public IP addresses.</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Step 4: The EC2 instance checks Amazon ElastiCache (Redis) for a cached response. Cache hits are returned immediately without hitting the database.</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Step 5: On a cache miss, the EC2 instance queries Amazon RDS (Primary instance in AZ-A). The response is cached in ElastiCache for subsequent requests.</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Step 6: If the RDS Primary instance fails, Amazon RDS automatically promotes the Standby instance in AZ-B within 60 seconds — no manual intervention required.</w:t>
      </w:r>
    </w:p>
    <w:p>
      <w:pPr>
        <w:spacing w:after="80"/>
        <w:jc w:val="left"/>
      </w:pPr>
      <w:r>
        <w:rPr>
          <w:rFonts w:ascii="Arial" w:cs="Arial" w:eastAsia="Arial" w:hAnsi="Arial"/>
          <w:sz w:val="20"/>
          <w:szCs w:val="20"/>
        </w:rPr>
        <w:t xml:space="preserve"/>
      </w:r>
    </w:p>
    <w:p>
      <w:pPr>
        <w:spacing w:before="220" w:after="100"/>
      </w:pPr>
      <w:r>
        <w:rPr>
          <w:rFonts w:ascii="Arial" w:cs="Arial" w:eastAsia="Arial" w:hAnsi="Arial"/>
          <w:b/>
          <w:bCs/>
          <w:color w:val="2E74B5"/>
          <w:sz w:val="22"/>
          <w:szCs w:val="22"/>
        </w:rPr>
        <w:t xml:space="preserve">4.3 Security Architecture (Defence in Depth)</w:t>
      </w:r>
    </w:p>
    <w:p>
      <w:pPr>
        <w:spacing w:after="120"/>
        <w:jc w:val="left"/>
      </w:pPr>
      <w:r>
        <w:rPr>
          <w:rFonts w:ascii="Arial" w:cs="Arial" w:eastAsia="Arial" w:hAnsi="Arial"/>
          <w:sz w:val="20"/>
          <w:szCs w:val="20"/>
        </w:rPr>
        <w:t xml:space="preserve">Security is applied in seven distinct layers:</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Layer 1 — Edge: AWS WAF on CloudFront blocks OWASP Top 10 threats (SQL injection, XSS, etc.) before they reach the application.</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Layer 2 — Network: ALB Security Group accepts inbound TCP 443 only from 0.0.0.0/0. All other ports are denied.</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Layer 3 — Compute: EC2 Security Group accepts inbound TCP 443 from the ALB Security Group only. No SSH from the internet (use AWS Systems Manager Session Manager for console access).</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Layer 4 — Database: RDS Security Group accepts inbound TCP 3306 from the EC2 Security Group only. No public accessibility.</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Layer 5 — Identity: EC2 instances use IAM Instance Roles (no hardcoded credentials). Database password stored in AWS Secrets Manager with automatic 30-day rotation.</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Layer 6 — Data: KMS encryption at rest for RDS, EBS volumes, and S3. TLS 1.3 enforced for all data in transit.</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Layer 7 — Audit: AWS CloudTrail logs all API calls. VPC Flow Logs capture network traffic. Amazon GuardDuty provides continuous threat detection.</w:t>
      </w:r>
    </w:p>
    <w:p>
      <w:pPr>
        <w:spacing w:after="80"/>
        <w:jc w:val="left"/>
      </w:pPr>
      <w:r>
        <w:rPr>
          <w:rFonts w:ascii="Arial" w:cs="Arial" w:eastAsia="Arial" w:hAnsi="Arial"/>
          <w:sz w:val="20"/>
          <w:szCs w:val="20"/>
        </w:rPr>
        <w:t xml:space="preserve"/>
      </w:r>
    </w:p>
    <w:p>
      <w:pPr>
        <w:spacing w:before="220" w:after="100"/>
      </w:pPr>
      <w:r>
        <w:rPr>
          <w:rFonts w:ascii="Arial" w:cs="Arial" w:eastAsia="Arial" w:hAnsi="Arial"/>
          <w:b/>
          <w:bCs/>
          <w:color w:val="2E74B5"/>
          <w:sz w:val="22"/>
          <w:szCs w:val="22"/>
        </w:rPr>
        <w:t xml:space="preserve">4.4 Auto Scaling Configuration</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Auto Scaling Group: Minimum = 2 instances (one per AZ for baseline HA), Desired = 2, Maximum = 8 instances.</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Scale-Out Policy: Add 2 instances when average CPU utilisation exceeds 70% for 2 consecutive minutes.</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Scale-In Policy: Remove 1 instance when average CPU utilisation drops below 30% for 10 consecutive minutes.</w:t>
      </w:r>
    </w:p>
    <w:p>
      <w:pPr>
        <w:spacing w:after="80"/>
        <w:ind w:left="360" w:hanging="240"/>
      </w:pPr>
      <w:r>
        <w:rPr>
          <w:rFonts w:ascii="Arial" w:cs="Arial" w:eastAsia="Arial" w:hAnsi="Arial"/>
          <w:b/>
          <w:bCs/>
          <w:color w:val="2E74B5"/>
          <w:sz w:val="20"/>
          <w:szCs w:val="20"/>
        </w:rPr>
        <w:t xml:space="preserve">•  </w:t>
      </w:r>
      <w:r>
        <w:rPr>
          <w:rFonts w:ascii="Arial" w:cs="Arial" w:eastAsia="Arial" w:hAnsi="Arial"/>
          <w:sz w:val="20"/>
          <w:szCs w:val="20"/>
        </w:rPr>
        <w:t xml:space="preserve">Cooldown Period: 300 seconds after a scale-out event to allow new instances to stabilise before triggering further scaling.</w:t>
      </w:r>
    </w:p>
    <w:p>
      <w:pPr>
        <w:spacing w:after="80"/>
        <w:jc w:val="left"/>
      </w:pPr>
      <w:r>
        <w:rPr>
          <w:rFonts w:ascii="Arial" w:cs="Arial" w:eastAsia="Arial" w:hAnsi="Arial"/>
          <w:sz w:val="20"/>
          <w:szCs w:val="20"/>
        </w:rPr>
        <w:t xml:space="preserve"/>
      </w:r>
    </w:p>
    <w:p>
      <w:pPr>
        <w:spacing w:before="220" w:after="100"/>
      </w:pPr>
      <w:r>
        <w:rPr>
          <w:rFonts w:ascii="Arial" w:cs="Arial" w:eastAsia="Arial" w:hAnsi="Arial"/>
          <w:b/>
          <w:bCs/>
          <w:color w:val="2E74B5"/>
          <w:sz w:val="22"/>
          <w:szCs w:val="22"/>
        </w:rPr>
        <w:t xml:space="preserve">4.5 Security Group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Resource</w:t>
            </w:r>
          </w:p>
        </w:tc>
        <w:tc>
          <w:tcPr>
            <w:tcW w:type="dxa" w:w="28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Inbound Rule</w:t>
            </w:r>
          </w:p>
        </w:tc>
        <w:tc>
          <w:tcPr>
            <w:tcW w:type="dxa" w:w="28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Outbound Rule</w:t>
            </w:r>
          </w:p>
        </w:tc>
        <w:tc>
          <w:tcPr>
            <w:tcW w:type="dxa" w:w="156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Public IP?</w:t>
            </w:r>
          </w:p>
        </w:tc>
      </w:tr>
      <w:tr>
        <w:tc>
          <w:tcPr>
            <w:tcW w:type="dxa" w:w="22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ALB (Application Load Balancer)</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TCP 443 from 0.0.0.0/0 (internet)
TCP 80 from 0.0.0.0/0 (redirect to 443)</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TCP 443 to EC2 Web Tier SG</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center"/>
            </w:pPr>
            <w:r>
              <w:rPr>
                <w:rFonts w:ascii="Arial" w:cs="Arial" w:eastAsia="Arial" w:hAnsi="Arial"/>
                <w:b/>
                <w:bCs/>
                <w:color w:val="2E74B5"/>
                <w:sz w:val="20"/>
                <w:szCs w:val="20"/>
              </w:rPr>
              <w:t xml:space="preserve">Yes (ALB DNS endpoint)</w:t>
            </w:r>
          </w:p>
        </w:tc>
      </w:tr>
      <w:tr>
        <w:tc>
          <w:tcPr>
            <w:tcW w:type="dxa" w:w="2200"/>
            <w:tcBorders>
              <w:top w:val="single" w:color="2E74B5" w:sz="1"/>
              <w:left w:val="single" w:color="2E74B5" w:sz="1"/>
              <w:bottom w:val="single" w:color="2E74B5" w:sz="1"/>
              <w:right w:val="single" w:color="2E74B5" w:sz="1"/>
            </w:tcBorders>
            <w:shd w:fill="EDF5FF"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EC2 Web Tier (Auto Scaling)</w:t>
            </w:r>
          </w:p>
        </w:tc>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TCP 443 from ALB Security Group only</w:t>
            </w:r>
          </w:p>
        </w:tc>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TCP 3306 to RDS SG
TCP 6379 to Redis SG
TCP 443 to 0.0.0.0/0 (via NAT Gateway)</w:t>
            </w:r>
          </w:p>
        </w:tc>
        <w:tc>
          <w:tcPr>
            <w:tcW w:type="dxa" w:w="15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center"/>
            </w:pPr>
            <w:r>
              <w:rPr>
                <w:rFonts w:ascii="Arial" w:cs="Arial" w:eastAsia="Arial" w:hAnsi="Arial"/>
                <w:b w:val="false"/>
                <w:bCs w:val="false"/>
                <w:color w:val="375623"/>
                <w:sz w:val="20"/>
                <w:szCs w:val="20"/>
              </w:rPr>
              <w:t xml:space="preserve">No</w:t>
            </w:r>
          </w:p>
        </w:tc>
      </w:tr>
      <w:tr>
        <w:tc>
          <w:tcPr>
            <w:tcW w:type="dxa" w:w="22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Amazon RDS MySQL</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TCP 3306 from EC2 Web Tier SG only</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None required</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center"/>
            </w:pPr>
            <w:r>
              <w:rPr>
                <w:rFonts w:ascii="Arial" w:cs="Arial" w:eastAsia="Arial" w:hAnsi="Arial"/>
                <w:b/>
                <w:bCs/>
                <w:color w:val="2E74B5"/>
                <w:sz w:val="20"/>
                <w:szCs w:val="20"/>
              </w:rPr>
              <w:t xml:space="preserve">No (Multi-AZ, private only)</w:t>
            </w:r>
          </w:p>
        </w:tc>
      </w:tr>
      <w:tr>
        <w:tc>
          <w:tcPr>
            <w:tcW w:type="dxa" w:w="2200"/>
            <w:tcBorders>
              <w:top w:val="single" w:color="2E74B5" w:sz="1"/>
              <w:left w:val="single" w:color="2E74B5" w:sz="1"/>
              <w:bottom w:val="single" w:color="2E74B5" w:sz="1"/>
              <w:right w:val="single" w:color="2E74B5" w:sz="1"/>
            </w:tcBorders>
            <w:shd w:fill="EDF5FF"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ElastiCache Redis</w:t>
            </w:r>
          </w:p>
        </w:tc>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TCP 6379 from EC2 Web Tier SG only</w:t>
            </w:r>
          </w:p>
        </w:tc>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None required</w:t>
            </w:r>
          </w:p>
        </w:tc>
        <w:tc>
          <w:tcPr>
            <w:tcW w:type="dxa" w:w="15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center"/>
            </w:pPr>
            <w:r>
              <w:rPr>
                <w:rFonts w:ascii="Arial" w:cs="Arial" w:eastAsia="Arial" w:hAnsi="Arial"/>
                <w:b w:val="false"/>
                <w:bCs w:val="false"/>
                <w:color w:val="375623"/>
                <w:sz w:val="20"/>
                <w:szCs w:val="20"/>
              </w:rPr>
              <w:t xml:space="preserve">No</w:t>
            </w:r>
          </w:p>
        </w:tc>
      </w:tr>
    </w:tbl>
    <w:p>
      <w:pPr>
        <w:spacing w:after="80"/>
        <w:jc w:val="left"/>
      </w:pPr>
      <w:r>
        <w:rPr>
          <w:rFonts w:ascii="Arial" w:cs="Arial" w:eastAsia="Arial" w:hAnsi="Arial"/>
          <w:sz w:val="20"/>
          <w:szCs w:val="20"/>
        </w:rPr>
        <w:t xml:space="preserve"/>
      </w:r>
    </w:p>
    <w:p>
      <w:pPr>
        <w:spacing w:before="220" w:after="100"/>
      </w:pPr>
      <w:r>
        <w:rPr>
          <w:rFonts w:ascii="Arial" w:cs="Arial" w:eastAsia="Arial" w:hAnsi="Arial"/>
          <w:b/>
          <w:bCs/>
          <w:color w:val="2E74B5"/>
          <w:sz w:val="22"/>
          <w:szCs w:val="22"/>
        </w:rPr>
        <w:t xml:space="preserve">4.6 WAF Pillar Compliance — How the New Architecture Addresses All Five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60"/>
        <w:gridCol w:w="19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WAF Pillar</w:t>
            </w:r>
          </w:p>
        </w:tc>
        <w:tc>
          <w:tcPr>
            <w:tcW w:type="dxa" w:w="546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Architecture Elements Addressing It</w:t>
            </w:r>
          </w:p>
        </w:tc>
        <w:tc>
          <w:tcPr>
            <w:tcW w:type="dxa" w:w="19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Status</w:t>
            </w:r>
          </w:p>
        </w:tc>
      </w:tr>
      <w:tr>
        <w:tc>
          <w:tcPr>
            <w:tcW w:type="dxa" w:w="20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Operational Excellence</w:t>
            </w:r>
          </w:p>
        </w:tc>
        <w:tc>
          <w:tcPr>
            <w:tcW w:type="dxa" w:w="5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CloudFormation (IaC), CodePipeline+CodeDeploy (CI/CD), CloudWatch dashboards, X-Ray tracing, Systems Manager automated runbooks</w:t>
            </w:r>
          </w:p>
        </w:tc>
        <w:tc>
          <w:tcPr>
            <w:tcW w:type="dxa" w:w="1900"/>
            <w:tcBorders>
              <w:top w:val="single" w:color="AAAAAA" w:sz="1"/>
              <w:left w:val="single" w:color="AAAAAA" w:sz="1"/>
              <w:bottom w:val="single" w:color="AAAAAA" w:sz="1"/>
              <w:right w:val="single" w:color="AAAAAA" w:sz="1"/>
            </w:tcBorders>
            <w:shd w:fill="E2EFDA" w:val="clear"/>
            <w:tcMar>
              <w:top w:type="dxa" w:w="100"/>
              <w:left w:type="dxa" w:w="140"/>
              <w:bottom w:type="dxa" w:w="100"/>
              <w:right w:type="dxa" w:w="140"/>
            </w:tcMar>
            <w:vAlign w:val="top"/>
          </w:tcPr>
          <w:p>
            <w:pPr>
              <w:spacing w:after="0"/>
              <w:jc w:val="center"/>
            </w:pPr>
            <w:r>
              <w:rPr>
                <w:rFonts w:ascii="Arial" w:cs="Arial" w:eastAsia="Arial" w:hAnsi="Arial"/>
                <w:b/>
                <w:bCs/>
                <w:color w:val="375623"/>
                <w:sz w:val="20"/>
                <w:szCs w:val="20"/>
              </w:rPr>
              <w:t xml:space="preserve">✔ Fully Addressed</w:t>
            </w:r>
          </w:p>
        </w:tc>
      </w:tr>
      <w:tr>
        <w:tc>
          <w:tcPr>
            <w:tcW w:type="dxa" w:w="2000"/>
            <w:tcBorders>
              <w:top w:val="single" w:color="2E74B5" w:sz="1"/>
              <w:left w:val="single" w:color="2E74B5" w:sz="1"/>
              <w:bottom w:val="single" w:color="2E74B5" w:sz="1"/>
              <w:right w:val="single" w:color="2E74B5" w:sz="1"/>
            </w:tcBorders>
            <w:shd w:fill="EDF5FF"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Security</w:t>
            </w:r>
          </w:p>
        </w:tc>
        <w:tc>
          <w:tcPr>
            <w:tcW w:type="dxa" w:w="54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AWS WAF on CloudFront, layered Security Groups, IAM roles for EC2, Secrets Manager, KMS encryption at rest, TLS in transit, CloudTrail, GuardDuty</w:t>
            </w:r>
          </w:p>
        </w:tc>
        <w:tc>
          <w:tcPr>
            <w:tcW w:type="dxa" w:w="1900"/>
            <w:tcBorders>
              <w:top w:val="single" w:color="AAAAAA" w:sz="1"/>
              <w:left w:val="single" w:color="AAAAAA" w:sz="1"/>
              <w:bottom w:val="single" w:color="AAAAAA" w:sz="1"/>
              <w:right w:val="single" w:color="AAAAAA" w:sz="1"/>
            </w:tcBorders>
            <w:shd w:fill="E2EFDA" w:val="clear"/>
            <w:tcMar>
              <w:top w:type="dxa" w:w="100"/>
              <w:left w:type="dxa" w:w="140"/>
              <w:bottom w:type="dxa" w:w="100"/>
              <w:right w:type="dxa" w:w="140"/>
            </w:tcMar>
            <w:vAlign w:val="top"/>
          </w:tcPr>
          <w:p>
            <w:pPr>
              <w:spacing w:after="0"/>
              <w:jc w:val="center"/>
            </w:pPr>
            <w:r>
              <w:rPr>
                <w:rFonts w:ascii="Arial" w:cs="Arial" w:eastAsia="Arial" w:hAnsi="Arial"/>
                <w:b/>
                <w:bCs/>
                <w:color w:val="375623"/>
                <w:sz w:val="20"/>
                <w:szCs w:val="20"/>
              </w:rPr>
              <w:t xml:space="preserve">✔ Fully Addressed</w:t>
            </w:r>
          </w:p>
        </w:tc>
      </w:tr>
      <w:tr>
        <w:tc>
          <w:tcPr>
            <w:tcW w:type="dxa" w:w="20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Reliability</w:t>
            </w:r>
          </w:p>
        </w:tc>
        <w:tc>
          <w:tcPr>
            <w:tcW w:type="dxa" w:w="5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Multi-AZ EC2 Auto Scaling Group, ALB with health checks every 30s, RDS Multi-AZ with &lt; 60s failover, AWS Backup (35-day retention)</w:t>
            </w:r>
          </w:p>
        </w:tc>
        <w:tc>
          <w:tcPr>
            <w:tcW w:type="dxa" w:w="1900"/>
            <w:tcBorders>
              <w:top w:val="single" w:color="AAAAAA" w:sz="1"/>
              <w:left w:val="single" w:color="AAAAAA" w:sz="1"/>
              <w:bottom w:val="single" w:color="AAAAAA" w:sz="1"/>
              <w:right w:val="single" w:color="AAAAAA" w:sz="1"/>
            </w:tcBorders>
            <w:shd w:fill="E2EFDA" w:val="clear"/>
            <w:tcMar>
              <w:top w:type="dxa" w:w="100"/>
              <w:left w:type="dxa" w:w="140"/>
              <w:bottom w:type="dxa" w:w="100"/>
              <w:right w:type="dxa" w:w="140"/>
            </w:tcMar>
            <w:vAlign w:val="top"/>
          </w:tcPr>
          <w:p>
            <w:pPr>
              <w:spacing w:after="0"/>
              <w:jc w:val="center"/>
            </w:pPr>
            <w:r>
              <w:rPr>
                <w:rFonts w:ascii="Arial" w:cs="Arial" w:eastAsia="Arial" w:hAnsi="Arial"/>
                <w:b/>
                <w:bCs/>
                <w:color w:val="375623"/>
                <w:sz w:val="20"/>
                <w:szCs w:val="20"/>
              </w:rPr>
              <w:t xml:space="preserve">✔ Fully Addressed</w:t>
            </w:r>
          </w:p>
        </w:tc>
      </w:tr>
      <w:tr>
        <w:tc>
          <w:tcPr>
            <w:tcW w:type="dxa" w:w="2000"/>
            <w:tcBorders>
              <w:top w:val="single" w:color="2E74B5" w:sz="1"/>
              <w:left w:val="single" w:color="2E74B5" w:sz="1"/>
              <w:bottom w:val="single" w:color="2E74B5" w:sz="1"/>
              <w:right w:val="single" w:color="2E74B5" w:sz="1"/>
            </w:tcBorders>
            <w:shd w:fill="EDF5FF"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Performance Efficiency</w:t>
            </w:r>
          </w:p>
        </w:tc>
        <w:tc>
          <w:tcPr>
            <w:tcW w:type="dxa" w:w="54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CloudFront CDN (edge caching), ElastiCache Redis (DB query caching), EC2 Auto Scaling (min=2, max=8), ALB load distribution, Compute Optimizer</w:t>
            </w:r>
          </w:p>
        </w:tc>
        <w:tc>
          <w:tcPr>
            <w:tcW w:type="dxa" w:w="1900"/>
            <w:tcBorders>
              <w:top w:val="single" w:color="AAAAAA" w:sz="1"/>
              <w:left w:val="single" w:color="AAAAAA" w:sz="1"/>
              <w:bottom w:val="single" w:color="AAAAAA" w:sz="1"/>
              <w:right w:val="single" w:color="AAAAAA" w:sz="1"/>
            </w:tcBorders>
            <w:shd w:fill="E2EFDA" w:val="clear"/>
            <w:tcMar>
              <w:top w:type="dxa" w:w="100"/>
              <w:left w:type="dxa" w:w="140"/>
              <w:bottom w:type="dxa" w:w="100"/>
              <w:right w:type="dxa" w:w="140"/>
            </w:tcMar>
            <w:vAlign w:val="top"/>
          </w:tcPr>
          <w:p>
            <w:pPr>
              <w:spacing w:after="0"/>
              <w:jc w:val="center"/>
            </w:pPr>
            <w:r>
              <w:rPr>
                <w:rFonts w:ascii="Arial" w:cs="Arial" w:eastAsia="Arial" w:hAnsi="Arial"/>
                <w:b/>
                <w:bCs/>
                <w:color w:val="375623"/>
                <w:sz w:val="20"/>
                <w:szCs w:val="20"/>
              </w:rPr>
              <w:t xml:space="preserve">✔ Fully Addressed</w:t>
            </w:r>
          </w:p>
        </w:tc>
      </w:tr>
      <w:tr>
        <w:tc>
          <w:tcPr>
            <w:tcW w:type="dxa" w:w="20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Cost Optimization</w:t>
            </w:r>
          </w:p>
        </w:tc>
        <w:tc>
          <w:tcPr>
            <w:tcW w:type="dxa" w:w="5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Auto Scaling (no idle capacity), EC2 Reserved Instances (1-year, up to 72% savings), AWS Budgets alerts, Cost Explorer, S3 for static assets</w:t>
            </w:r>
          </w:p>
        </w:tc>
        <w:tc>
          <w:tcPr>
            <w:tcW w:type="dxa" w:w="1900"/>
            <w:tcBorders>
              <w:top w:val="single" w:color="AAAAAA" w:sz="1"/>
              <w:left w:val="single" w:color="AAAAAA" w:sz="1"/>
              <w:bottom w:val="single" w:color="AAAAAA" w:sz="1"/>
              <w:right w:val="single" w:color="AAAAAA" w:sz="1"/>
            </w:tcBorders>
            <w:shd w:fill="E2EFDA" w:val="clear"/>
            <w:tcMar>
              <w:top w:type="dxa" w:w="100"/>
              <w:left w:type="dxa" w:w="140"/>
              <w:bottom w:type="dxa" w:w="100"/>
              <w:right w:type="dxa" w:w="140"/>
            </w:tcMar>
            <w:vAlign w:val="top"/>
          </w:tcPr>
          <w:p>
            <w:pPr>
              <w:spacing w:after="0"/>
              <w:jc w:val="center"/>
            </w:pPr>
            <w:r>
              <w:rPr>
                <w:rFonts w:ascii="Arial" w:cs="Arial" w:eastAsia="Arial" w:hAnsi="Arial"/>
                <w:b/>
                <w:bCs/>
                <w:color w:val="375623"/>
                <w:sz w:val="20"/>
                <w:szCs w:val="20"/>
              </w:rPr>
              <w:t xml:space="preserve">✔ Fully Addressed</w:t>
            </w:r>
          </w:p>
        </w:tc>
      </w:tr>
    </w:tbl>
    <w:p>
      <w:pPr>
        <w:spacing w:after="80"/>
        <w:jc w:val="left"/>
      </w:pPr>
      <w:r>
        <w:rPr>
          <w:rFonts w:ascii="Arial" w:cs="Arial" w:eastAsia="Arial" w:hAnsi="Arial"/>
          <w:sz w:val="20"/>
          <w:szCs w:val="20"/>
        </w:rPr>
        <w:t xml:space="preserve"/>
      </w:r>
    </w:p>
    <w:p>
      <w:pPr>
        <w:spacing w:before="220" w:after="100"/>
      </w:pPr>
      <w:r>
        <w:rPr>
          <w:rFonts w:ascii="Arial" w:cs="Arial" w:eastAsia="Arial" w:hAnsi="Arial"/>
          <w:b/>
          <w:bCs/>
          <w:color w:val="2E74B5"/>
          <w:sz w:val="22"/>
          <w:szCs w:val="22"/>
        </w:rPr>
        <w:t xml:space="preserve">4.7 Supporting Services (Cross-Cutting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Domain</w:t>
            </w:r>
          </w:p>
        </w:tc>
        <w:tc>
          <w:tcPr>
            <w:tcW w:type="dxa" w:w="25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AWS Service</w:t>
            </w:r>
          </w:p>
        </w:tc>
        <w:tc>
          <w:tcPr>
            <w:tcW w:type="dxa" w:w="506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spacing w:after="0"/>
              <w:jc w:val="center"/>
            </w:pPr>
            <w:r>
              <w:rPr>
                <w:rFonts w:ascii="Arial" w:cs="Arial" w:eastAsia="Arial" w:hAnsi="Arial"/>
                <w:b/>
                <w:bCs/>
                <w:color w:val="FFFFFF"/>
                <w:sz w:val="19"/>
                <w:szCs w:val="19"/>
              </w:rPr>
              <w:t xml:space="preserve">Purpose</w:t>
            </w:r>
          </w:p>
        </w:tc>
      </w:tr>
      <w:tr>
        <w:tc>
          <w:tcPr>
            <w:tcW w:type="dxa" w:w="18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IaC &amp; CI/CD</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AWS CloudFormation
AWS CodePipeline + CodeDeploy</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All infrastructure defined as code; automated, version-controlled deployments — no manual console changes in production.</w:t>
            </w:r>
          </w:p>
        </w:tc>
      </w:tr>
      <w:tr>
        <w:tc>
          <w:tcPr>
            <w:tcW w:type="dxa" w:w="1800"/>
            <w:tcBorders>
              <w:top w:val="single" w:color="2E74B5" w:sz="1"/>
              <w:left w:val="single" w:color="2E74B5" w:sz="1"/>
              <w:bottom w:val="single" w:color="2E74B5" w:sz="1"/>
              <w:right w:val="single" w:color="2E74B5" w:sz="1"/>
            </w:tcBorders>
            <w:shd w:fill="EDF5FF"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Monitoring</w:t>
            </w:r>
          </w:p>
        </w:tc>
        <w:tc>
          <w:tcPr>
            <w:tcW w:type="dxa" w:w="25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Amazon CloudWatch
AWS X-Ray</w:t>
            </w:r>
          </w:p>
        </w:tc>
        <w:tc>
          <w:tcPr>
            <w:tcW w:type="dxa" w:w="50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Full-stack observability: custom metrics, log aggregation, alerting, and end-to-end distributed request tracing.</w:t>
            </w:r>
          </w:p>
        </w:tc>
      </w:tr>
      <w:tr>
        <w:tc>
          <w:tcPr>
            <w:tcW w:type="dxa" w:w="18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Operations</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AWS Systems Manager</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Automated patch management, secure console access (Session Manager), and automated incident-response runbooks.</w:t>
            </w:r>
          </w:p>
        </w:tc>
      </w:tr>
      <w:tr>
        <w:tc>
          <w:tcPr>
            <w:tcW w:type="dxa" w:w="1800"/>
            <w:tcBorders>
              <w:top w:val="single" w:color="2E74B5" w:sz="1"/>
              <w:left w:val="single" w:color="2E74B5" w:sz="1"/>
              <w:bottom w:val="single" w:color="2E74B5" w:sz="1"/>
              <w:right w:val="single" w:color="2E74B5" w:sz="1"/>
            </w:tcBorders>
            <w:shd w:fill="EDF5FF"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Backup</w:t>
            </w:r>
          </w:p>
        </w:tc>
        <w:tc>
          <w:tcPr>
            <w:tcW w:type="dxa" w:w="25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AWS Backup</w:t>
            </w:r>
          </w:p>
        </w:tc>
        <w:tc>
          <w:tcPr>
            <w:tcW w:type="dxa" w:w="50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Centralised backup policy: daily RDS snapshots with 35-day retention; cross-region copy for disaster recovery.</w:t>
            </w:r>
          </w:p>
        </w:tc>
      </w:tr>
      <w:tr>
        <w:tc>
          <w:tcPr>
            <w:tcW w:type="dxa" w:w="1800"/>
            <w:tcBorders>
              <w:top w:val="single" w:color="2E74B5" w:sz="1"/>
              <w:left w:val="single" w:color="2E74B5" w:sz="1"/>
              <w:bottom w:val="single" w:color="2E74B5" w:sz="1"/>
              <w:right w:val="single" w:color="2E74B5" w:sz="1"/>
            </w:tcBorders>
            <w:shd w:fill="D6E4F0" w:val="clear"/>
            <w:tcMar>
              <w:top w:type="dxa" w:w="100"/>
              <w:left w:type="dxa" w:w="140"/>
              <w:bottom w:type="dxa" w:w="100"/>
              <w:right w:type="dxa" w:w="140"/>
            </w:tcMar>
            <w:vAlign w:val="center"/>
          </w:tcPr>
          <w:p>
            <w:pPr>
              <w:spacing w:after="0"/>
              <w:jc w:val="left"/>
            </w:pPr>
            <w:r>
              <w:rPr>
                <w:rFonts w:ascii="Arial" w:cs="Arial" w:eastAsia="Arial" w:hAnsi="Arial"/>
                <w:b/>
                <w:bCs/>
                <w:color w:val="1F4E79"/>
                <w:sz w:val="19"/>
                <w:szCs w:val="19"/>
              </w:rPr>
              <w:t xml:space="preserve">Cost Management</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AWS Cost Explorer
AWS Budgets
AWS Trusted Advisor</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pPr>
              <w:spacing w:after="0"/>
              <w:jc w:val="left"/>
            </w:pPr>
            <w:r>
              <w:rPr>
                <w:rFonts w:ascii="Arial" w:cs="Arial" w:eastAsia="Arial" w:hAnsi="Arial"/>
                <w:sz w:val="20"/>
                <w:szCs w:val="20"/>
              </w:rPr>
              <w:t xml:space="preserve">Real-time spend analysis, monthly budget alerts at 80% threshold, and automated best-practice recommendations.</w:t>
            </w:r>
          </w:p>
        </w:tc>
      </w:tr>
    </w:tbl>
    <w:p>
      <w:pPr>
        <w:spacing w:after="0"/>
      </w:pPr>
      <w:r>
        <w:br w:type="page"/>
      </w:r>
    </w:p>
    <w:p>
      <w:pPr>
        <w:spacing w:before="200" w:after="180"/>
      </w:pPr>
      <w:r>
        <w:rPr>
          <w:rFonts w:ascii="Arial" w:cs="Arial" w:eastAsia="Arial" w:hAnsi="Arial"/>
          <w:b/>
          <w:bCs/>
          <w:color w:val="1F4E79"/>
          <w:sz w:val="30"/>
          <w:szCs w:val="30"/>
        </w:rPr>
        <w:t xml:space="preserve">Reflection</w:t>
      </w:r>
    </w:p>
    <w:p>
      <w:pPr>
        <w:spacing w:after="160"/>
        <w:ind w:firstLine="360"/>
      </w:pPr>
      <w:r>
        <w:rPr>
          <w:rFonts w:ascii="Arial" w:cs="Arial" w:eastAsia="Arial" w:hAnsi="Arial"/>
          <w:sz w:val="20"/>
          <w:szCs w:val="20"/>
        </w:rPr>
        <w:t xml:space="preserve">This lab reinforced that cloud migration is never purely a technical exercise — it is an organisational transformation. Applying the Well-Architected Framework made me think systematically across five dimensions rather than defaulting to a simple lift-and-shift approach. Each pillar revealed a different category of risk in the original on-premises design: reliability gaps exposed by the single-AZ deployment, security weaknesses from overly permissive rules, and cost inefficiency from static provisioning.</w:t>
      </w:r>
    </w:p>
    <w:p>
      <w:pPr>
        <w:spacing w:after="160"/>
        <w:ind w:firstLine="360"/>
      </w:pPr>
      <w:r>
        <w:rPr>
          <w:rFonts w:ascii="Arial" w:cs="Arial" w:eastAsia="Arial" w:hAnsi="Arial"/>
          <w:sz w:val="20"/>
          <w:szCs w:val="20"/>
        </w:rPr>
        <w:t xml:space="preserve">The Cloud Adoption Framework added essential depth by highlighting that technology alone cannot drive successful adoption. Without addressing the People and Governance perspectives, even a technically excellent architecture can fail due to skill gaps, resistance to change, or uncontrolled cloud sprawl. The most important insight from this lab is that the five WAF pillars and six CAF perspectives are complementary — the WAF tells you what to build, and the CAF tells you how to prepare your organisation to build and operate it sustainably. Both frameworks together form a complete blueprint for cloud transformation.</w:t>
      </w:r>
    </w:p>
    <w:p>
      <w:pPr>
        <w:pBdr>
          <w:bottom w:val="single" w:color="DDDDDD" w:sz="6" w:space="1"/>
        </w:pBdr>
        <w:spacing w:before="240" w:after="240"/>
      </w:pPr>
    </w:p>
    <w:p>
      <w:pPr>
        <w:spacing w:after="0"/>
        <w:jc w:val="center"/>
      </w:pPr>
      <w:r>
        <w:rPr>
          <w:rFonts w:ascii="Arial" w:cs="Arial" w:eastAsia="Arial" w:hAnsi="Arial"/>
          <w:i/>
          <w:iCs/>
          <w:color w:val="888888"/>
          <w:sz w:val="18"/>
          <w:szCs w:val="18"/>
        </w:rPr>
        <w:t xml:space="preserve">End of Report — Dakore Gideon | February 25, 2026 | AWS WAF &amp; CAF Assessment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2026-02-26T00:10:34.654Z</dcterms:created>
  <dcterms:modified xsi:type="dcterms:W3CDTF">2026-02-26T00:10:34.654Z</dcterms:modified>
</cp:coreProperties>
</file>

<file path=docProps/custom.xml><?xml version="1.0" encoding="utf-8"?>
<Properties xmlns="http://schemas.openxmlformats.org/officeDocument/2006/custom-properties" xmlns:vt="http://schemas.openxmlformats.org/officeDocument/2006/docPropsVTypes"/>
</file>