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both"/>
        <w:rPr>
          <w:rFonts w:ascii="Calibri" w:cs="Calibri" w:eastAsia="Calibri" w:hAnsi="Calibri"/>
          <w:b w:val="1"/>
          <w:sz w:val="36"/>
          <w:szCs w:val="36"/>
          <w:u w:val="single"/>
        </w:rPr>
      </w:pPr>
      <w:r w:rsidDel="00000000" w:rsidR="00000000" w:rsidRPr="00000000">
        <w:rPr>
          <w:b w:val="1"/>
          <w:sz w:val="36"/>
          <w:szCs w:val="36"/>
          <w:u w:val="single"/>
          <w:rtl w:val="0"/>
        </w:rPr>
        <w:t xml:space="preserve">Engineered prolonged-acting prodrugs via albumin-binding probes</w:t>
      </w:r>
      <w:r w:rsidDel="00000000" w:rsidR="00000000" w:rsidRPr="00000000">
        <w:rPr>
          <w:rtl w:val="0"/>
        </w:rPr>
      </w:r>
    </w:p>
    <w:p w:rsidR="00000000" w:rsidDel="00000000" w:rsidP="00000000" w:rsidRDefault="00000000" w:rsidRPr="00000000" w14:paraId="00000002">
      <w:pPr>
        <w:spacing w:after="0" w:lineRule="auto"/>
        <w:jc w:val="both"/>
        <w:rPr>
          <w:b w:val="1"/>
        </w:rPr>
      </w:pPr>
      <w:r w:rsidDel="00000000" w:rsidR="00000000" w:rsidRPr="00000000">
        <w:rPr>
          <w:rtl w:val="0"/>
        </w:rPr>
      </w:r>
    </w:p>
    <w:tbl>
      <w:tblPr>
        <w:tblStyle w:val="Table1"/>
        <w:tblW w:w="5128.0" w:type="dxa"/>
        <w:jc w:val="left"/>
        <w:tblInd w:w="108.0" w:type="dxa"/>
        <w:tblBorders>
          <w:top w:color="8064a2" w:space="0" w:sz="8" w:val="single"/>
          <w:bottom w:color="8064a2" w:space="0" w:sz="8" w:val="single"/>
        </w:tblBorders>
        <w:tblLayout w:type="fixed"/>
        <w:tblLook w:val="0400"/>
      </w:tblPr>
      <w:tblGrid>
        <w:gridCol w:w="1996"/>
        <w:gridCol w:w="3132"/>
        <w:tblGridChange w:id="0">
          <w:tblGrid>
            <w:gridCol w:w="1996"/>
            <w:gridCol w:w="3132"/>
          </w:tblGrid>
        </w:tblGridChange>
      </w:tblGrid>
      <w:tr>
        <w:trPr>
          <w:trHeight w:val="240" w:hRule="atLeast"/>
        </w:trPr>
        <w:tc>
          <w:tcPr>
            <w:tcBorders>
              <w:top w:color="8064a2" w:space="0" w:sz="8" w:val="single"/>
              <w:left w:color="000000" w:space="0" w:sz="0" w:val="nil"/>
              <w:bottom w:color="000000" w:space="0" w:sz="0" w:val="nil"/>
              <w:right w:color="000000" w:space="0" w:sz="0" w:val="nil"/>
            </w:tcBorders>
            <w:shd w:fill="f5f2f8" w:val="clear"/>
          </w:tcPr>
          <w:p w:rsidR="00000000" w:rsidDel="00000000" w:rsidP="00000000" w:rsidRDefault="00000000" w:rsidRPr="00000000" w14:paraId="00000003">
            <w:pPr>
              <w:widowControl w:val="0"/>
              <w:spacing w:after="0" w:line="276" w:lineRule="auto"/>
              <w:ind w:right="-97"/>
              <w:jc w:val="both"/>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Project Number: </w:t>
            </w:r>
          </w:p>
        </w:tc>
        <w:tc>
          <w:tcPr>
            <w:tcBorders>
              <w:top w:color="8064a2" w:space="0" w:sz="8" w:val="single"/>
              <w:left w:color="000000" w:space="0" w:sz="0" w:val="nil"/>
              <w:bottom w:color="000000" w:space="0" w:sz="0" w:val="nil"/>
              <w:right w:color="000000" w:space="0" w:sz="0" w:val="nil"/>
            </w:tcBorders>
            <w:shd w:fill="f5f2f8" w:val="clear"/>
          </w:tcPr>
          <w:p w:rsidR="00000000" w:rsidDel="00000000" w:rsidP="00000000" w:rsidRDefault="00000000" w:rsidRPr="00000000" w14:paraId="00000004">
            <w:pPr>
              <w:widowControl w:val="0"/>
              <w:spacing w:after="0" w:line="276" w:lineRule="auto"/>
              <w:ind w:right="-97"/>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#1555</w:t>
            </w:r>
          </w:p>
        </w:tc>
      </w:tr>
      <w:tr>
        <w:trPr>
          <w:trHeight w:val="240" w:hRule="atLeast"/>
        </w:trPr>
        <w:tc>
          <w:tcPr>
            <w:tcBorders>
              <w:top w:color="000000" w:space="0" w:sz="0" w:val="nil"/>
              <w:left w:color="000000" w:space="0" w:sz="0" w:val="nil"/>
              <w:bottom w:color="000000" w:space="0" w:sz="0" w:val="nil"/>
              <w:right w:color="000000" w:space="0" w:sz="0" w:val="nil"/>
            </w:tcBorders>
            <w:shd w:fill="dfd8e8" w:val="clear"/>
          </w:tcPr>
          <w:p w:rsidR="00000000" w:rsidDel="00000000" w:rsidP="00000000" w:rsidRDefault="00000000" w:rsidRPr="00000000" w14:paraId="00000005">
            <w:pPr>
              <w:widowControl w:val="0"/>
              <w:spacing w:after="0" w:line="276" w:lineRule="auto"/>
              <w:ind w:right="-97"/>
              <w:jc w:val="both"/>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Principal Investigator: </w:t>
            </w:r>
          </w:p>
        </w:tc>
        <w:tc>
          <w:tcPr>
            <w:tcBorders>
              <w:top w:color="000000" w:space="0" w:sz="0" w:val="nil"/>
              <w:left w:color="000000" w:space="0" w:sz="0" w:val="nil"/>
              <w:bottom w:color="000000" w:space="0" w:sz="0" w:val="nil"/>
              <w:right w:color="000000" w:space="0" w:sz="0" w:val="nil"/>
            </w:tcBorders>
            <w:shd w:fill="dfd8e8" w:val="clear"/>
          </w:tcPr>
          <w:p w:rsidR="00000000" w:rsidDel="00000000" w:rsidP="00000000" w:rsidRDefault="00000000" w:rsidRPr="00000000" w14:paraId="00000006">
            <w:pPr>
              <w:widowControl w:val="0"/>
              <w:spacing w:after="0" w:line="276" w:lineRule="auto"/>
              <w:ind w:right="-97"/>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Prof. Yoram Shechter </w:t>
            </w:r>
          </w:p>
          <w:p w:rsidR="00000000" w:rsidDel="00000000" w:rsidP="00000000" w:rsidRDefault="00000000" w:rsidRPr="00000000" w14:paraId="00000007">
            <w:pPr>
              <w:widowControl w:val="0"/>
              <w:spacing w:after="0" w:line="276" w:lineRule="auto"/>
              <w:ind w:right="-97"/>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Prof. Matityahu Fridkin</w:t>
            </w:r>
          </w:p>
        </w:tc>
      </w:tr>
      <w:tr>
        <w:trPr>
          <w:trHeight w:val="240" w:hRule="atLeast"/>
        </w:trPr>
        <w:tc>
          <w:tcPr>
            <w:tcBorders>
              <w:top w:color="000000" w:space="0" w:sz="0" w:val="nil"/>
              <w:bottom w:color="8064a2" w:space="0" w:sz="8" w:val="single"/>
            </w:tcBorders>
            <w:shd w:fill="f5f2f8" w:val="clear"/>
          </w:tcPr>
          <w:p w:rsidR="00000000" w:rsidDel="00000000" w:rsidP="00000000" w:rsidRDefault="00000000" w:rsidRPr="00000000" w14:paraId="00000008">
            <w:pPr>
              <w:widowControl w:val="0"/>
              <w:spacing w:after="0" w:line="276" w:lineRule="auto"/>
              <w:ind w:right="-97"/>
              <w:jc w:val="both"/>
              <w:rPr>
                <w:rFonts w:ascii="Tahoma" w:cs="Tahoma" w:eastAsia="Tahoma" w:hAnsi="Tahoma"/>
                <w:b w:val="1"/>
                <w:sz w:val="20"/>
                <w:szCs w:val="20"/>
              </w:rPr>
            </w:pPr>
            <w:r w:rsidDel="00000000" w:rsidR="00000000" w:rsidRPr="00000000">
              <w:rPr>
                <w:rFonts w:ascii="Tahoma" w:cs="Tahoma" w:eastAsia="Tahoma" w:hAnsi="Tahoma"/>
                <w:b w:val="1"/>
                <w:sz w:val="20"/>
                <w:szCs w:val="20"/>
                <w:rtl w:val="0"/>
              </w:rPr>
              <w:t xml:space="preserve">Patent Status: </w:t>
            </w:r>
          </w:p>
        </w:tc>
        <w:tc>
          <w:tcPr>
            <w:tcBorders>
              <w:top w:color="000000" w:space="0" w:sz="0" w:val="nil"/>
              <w:bottom w:color="8064a2" w:space="0" w:sz="8" w:val="single"/>
            </w:tcBorders>
            <w:shd w:fill="f5f2f8" w:val="clear"/>
          </w:tcPr>
          <w:p w:rsidR="00000000" w:rsidDel="00000000" w:rsidP="00000000" w:rsidRDefault="00000000" w:rsidRPr="00000000" w14:paraId="00000009">
            <w:pPr>
              <w:widowControl w:val="0"/>
              <w:spacing w:after="0" w:line="276" w:lineRule="auto"/>
              <w:ind w:right="-97"/>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Pending</w:t>
            </w:r>
          </w:p>
        </w:tc>
      </w:tr>
    </w:tbl>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1"/>
          <w:i w:val="0"/>
          <w:smallCaps w:val="0"/>
          <w:strike w:val="0"/>
          <w:color w:val="4f81bd"/>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b w:val="1"/>
          <w:i w:val="0"/>
          <w:smallCaps w:val="0"/>
          <w:strike w:val="0"/>
          <w:color w:val="4f81bd"/>
          <w:sz w:val="24"/>
          <w:szCs w:val="24"/>
          <w:u w:val="single"/>
          <w:shd w:fill="auto" w:val="clear"/>
          <w:vertAlign w:val="baseline"/>
        </w:rPr>
      </w:pPr>
      <w:r w:rsidDel="00000000" w:rsidR="00000000" w:rsidRPr="00000000">
        <w:rPr>
          <w:b w:val="1"/>
          <w:i w:val="0"/>
          <w:smallCaps w:val="0"/>
          <w:strike w:val="0"/>
          <w:color w:val="4f81bd"/>
          <w:sz w:val="24"/>
          <w:szCs w:val="24"/>
          <w:u w:val="single"/>
          <w:shd w:fill="auto" w:val="clear"/>
          <w:vertAlign w:val="baseline"/>
          <w:rtl w:val="0"/>
        </w:rPr>
        <w:t xml:space="preserve">Overview and unmet need</w:t>
      </w:r>
    </w:p>
    <w:p w:rsidR="00000000" w:rsidDel="00000000" w:rsidP="00000000" w:rsidRDefault="00000000" w:rsidRPr="00000000" w14:paraId="0000000C">
      <w:pPr>
        <w:spacing w:after="0" w:line="240" w:lineRule="auto"/>
        <w:jc w:val="both"/>
        <w:rPr>
          <w:sz w:val="24"/>
          <w:szCs w:val="24"/>
        </w:rPr>
      </w:pPr>
      <w:r w:rsidDel="00000000" w:rsidR="00000000" w:rsidRPr="00000000">
        <w:rPr>
          <w:sz w:val="24"/>
          <w:szCs w:val="24"/>
          <w:rtl w:val="0"/>
        </w:rPr>
        <w:t xml:space="preserve">Therapeutic protein and peptide based drugs are an important class of medicines serving patients most in need of novel therapies. Recently approved recombinant protein therapeutics have been developed to treat a wide variety of clinical indications, including cancers, autoimmunity/inflammation, exposure to infectious agents, and genetic disorders. Currently, the market for peptide and protein drugs is estimated to be greater than US$40 billion/year, or 10% of the pharmaceutical market. However, most polypeptide drugs, in particular non glycosylated proteins of molecular mass less than 50 kDa, are short-lived species in vivo having circulatory half-lives of 5–20 min. One of the approaches applied for extending the actions of short-lived peptide/protein drugs is to endow them with affinity to serum albumin.</w:t>
      </w:r>
    </w:p>
    <w:p w:rsidR="00000000" w:rsidDel="00000000" w:rsidP="00000000" w:rsidRDefault="00000000" w:rsidRPr="00000000" w14:paraId="0000000D">
      <w:pPr>
        <w:spacing w:after="0" w:line="240" w:lineRule="auto"/>
        <w:jc w:val="both"/>
        <w:rPr>
          <w:sz w:val="24"/>
          <w:szCs w:val="24"/>
        </w:rPr>
      </w:pPr>
      <w:r w:rsidDel="00000000" w:rsidR="00000000" w:rsidRPr="00000000">
        <w:rPr>
          <w:sz w:val="24"/>
          <w:szCs w:val="24"/>
          <w:rtl w:val="0"/>
        </w:rPr>
        <w:t xml:space="preserve">Albumin is a long-lived protein in vivo. Likewise, drugs and endogenous substances, including proteins that associate tightly with albumin have lower clearance rates than the unbound equivalents and exhibit prolonged lifetime profiles in vivo.</w:t>
      </w:r>
    </w:p>
    <w:p w:rsidR="00000000" w:rsidDel="00000000" w:rsidP="00000000" w:rsidRDefault="00000000" w:rsidRPr="00000000" w14:paraId="0000000E">
      <w:pPr>
        <w:spacing w:after="0" w:line="240" w:lineRule="auto"/>
        <w:jc w:val="both"/>
        <w:rPr>
          <w:sz w:val="24"/>
          <w:szCs w:val="24"/>
        </w:rPr>
      </w:pPr>
      <w:r w:rsidDel="00000000" w:rsidR="00000000" w:rsidRPr="00000000">
        <w:rPr>
          <w:sz w:val="24"/>
          <w:szCs w:val="24"/>
          <w:rtl w:val="0"/>
        </w:rPr>
        <w:t xml:space="preserve">One approach used to bind drugs to albumin is by covalently linking them to ligands that bind albumin, such as long-chain fatty acids (LCFAs). This approach was successfully used for designing an insulin derivative in which an LCFA-like probe is integrated into the insulin molecule, increasing its residence time. </w:t>
      </w:r>
    </w:p>
    <w:p w:rsidR="00000000" w:rsidDel="00000000" w:rsidP="00000000" w:rsidRDefault="00000000" w:rsidRPr="00000000" w14:paraId="0000000F">
      <w:pPr>
        <w:spacing w:after="0" w:line="240" w:lineRule="auto"/>
        <w:jc w:val="both"/>
        <w:rPr>
          <w:sz w:val="24"/>
          <w:szCs w:val="24"/>
        </w:rPr>
      </w:pPr>
      <w:r w:rsidDel="00000000" w:rsidR="00000000" w:rsidRPr="00000000">
        <w:rPr>
          <w:sz w:val="24"/>
          <w:szCs w:val="24"/>
          <w:rtl w:val="0"/>
        </w:rPr>
        <w:t xml:space="preserve">Though successfully used in the past, a major drawback of linking ligands to target molecules is that conjugating a probe to a peptide or a protein could result in an inactive product. To overcome this last drawback, Prof. Shechter and prof. Fridkin designed a set of probes capable of binding albumin with high affinity. A first set of probes are designed to hydrolyse under physiological conditions, thus reactivating the prodrug. Conversely, another set of designed probes are non-hydrolysable but have more binding options and thus can be attached to the target drug in a manner that minimizes interference with its pharmacological activity.</w:t>
      </w:r>
    </w:p>
    <w:p w:rsidR="00000000" w:rsidDel="00000000" w:rsidP="00000000" w:rsidRDefault="00000000" w:rsidRPr="00000000" w14:paraId="00000010">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011">
      <w:pPr>
        <w:widowControl w:val="0"/>
        <w:spacing w:line="276" w:lineRule="auto"/>
        <w:jc w:val="both"/>
        <w:rPr>
          <w:b w:val="1"/>
          <w:color w:val="4f81bd"/>
          <w:sz w:val="24"/>
          <w:szCs w:val="24"/>
          <w:u w:val="single"/>
        </w:rPr>
      </w:pPr>
      <w:r w:rsidDel="00000000" w:rsidR="00000000" w:rsidRPr="00000000">
        <w:rPr>
          <w:b w:val="1"/>
          <w:color w:val="4f81bd"/>
          <w:sz w:val="24"/>
          <w:szCs w:val="24"/>
          <w:u w:val="single"/>
          <w:rtl w:val="0"/>
        </w:rPr>
        <w:t xml:space="preserve">The Technology</w:t>
      </w:r>
    </w:p>
    <w:p w:rsidR="00000000" w:rsidDel="00000000" w:rsidP="00000000" w:rsidRDefault="00000000" w:rsidRPr="00000000" w14:paraId="00000012">
      <w:pPr>
        <w:widowControl w:val="0"/>
        <w:spacing w:after="0" w:line="240" w:lineRule="auto"/>
        <w:jc w:val="both"/>
        <w:rPr>
          <w:sz w:val="24"/>
          <w:szCs w:val="24"/>
        </w:rPr>
      </w:pPr>
      <w:r w:rsidDel="00000000" w:rsidR="00000000" w:rsidRPr="00000000">
        <w:rPr>
          <w:sz w:val="24"/>
          <w:szCs w:val="24"/>
          <w:rtl w:val="0"/>
        </w:rPr>
        <w:t xml:space="preserve">The team at Prof. shechter’s and Prof. </w:t>
      </w:r>
      <w:r w:rsidDel="00000000" w:rsidR="00000000" w:rsidRPr="00000000">
        <w:rPr>
          <w:rFonts w:ascii="Tahoma" w:cs="Tahoma" w:eastAsia="Tahoma" w:hAnsi="Tahoma"/>
          <w:sz w:val="20"/>
          <w:szCs w:val="20"/>
          <w:rtl w:val="0"/>
        </w:rPr>
        <w:t xml:space="preserve">Fridkin’s</w:t>
      </w:r>
      <w:r w:rsidDel="00000000" w:rsidR="00000000" w:rsidRPr="00000000">
        <w:rPr>
          <w:sz w:val="24"/>
          <w:szCs w:val="24"/>
          <w:rtl w:val="0"/>
        </w:rPr>
        <w:t xml:space="preserve"> labs have development of a set of novel probes capable of binding  human serum albumin (HSA) with high affinity (K</w:t>
      </w:r>
      <w:r w:rsidDel="00000000" w:rsidR="00000000" w:rsidRPr="00000000">
        <w:rPr>
          <w:sz w:val="24"/>
          <w:szCs w:val="24"/>
          <w:vertAlign w:val="subscript"/>
          <w:rtl w:val="0"/>
        </w:rPr>
        <w:t xml:space="preserve">a</w:t>
      </w:r>
      <w:r w:rsidDel="00000000" w:rsidR="00000000" w:rsidRPr="00000000">
        <w:rPr>
          <w:sz w:val="24"/>
          <w:szCs w:val="24"/>
          <w:rtl w:val="0"/>
        </w:rPr>
        <w:t xml:space="preserve"> = 10</w:t>
      </w:r>
      <w:r w:rsidDel="00000000" w:rsidR="00000000" w:rsidRPr="00000000">
        <w:rPr>
          <w:sz w:val="24"/>
          <w:szCs w:val="24"/>
          <w:vertAlign w:val="superscript"/>
          <w:rtl w:val="0"/>
        </w:rPr>
        <w:t xml:space="preserve">5</w:t>
      </w:r>
      <w:r w:rsidDel="00000000" w:rsidR="00000000" w:rsidRPr="00000000">
        <w:rPr>
          <w:sz w:val="24"/>
          <w:szCs w:val="24"/>
          <w:rtl w:val="0"/>
        </w:rPr>
        <w:t xml:space="preserve">), sufficient to turn short-lived molecules into long-lived species in vivo. The first set of probes, LCFA-like sulfonated derivatives, are capable of selectively reacting with any drug containing an amino/mercapto group (e.g. protein or peptides containing a lysine or unbonded cysteine residues). Although peptide and protein drugs can undergo a considerable degree of lysine modification before being substantially inactivated, in case more than one amino group is present in the drug, the amino group to be linked to the albumin-binding probe could be selected as to minimally interfere with the pharmacological activity of the drug. A second set of probes are similar to the first albeit an addition of a hydrolysable heterobifunctional spacer which goes through spontaneous hydrolysis under physiological conditions. The latter set of probes can be conjugated to any amino group containing drugs. These probes undergo controlled reactivation in case the albumin-associated new product loses its biological/pharmacological potency upon conjugation. This conjugate reactivation only takes place in body fluids at a slow rate, with a desirable pharmacokinetic pattern.</w:t>
      </w:r>
    </w:p>
    <w:p w:rsidR="00000000" w:rsidDel="00000000" w:rsidP="00000000" w:rsidRDefault="00000000" w:rsidRPr="00000000" w14:paraId="00000013">
      <w:pPr>
        <w:widowControl w:val="0"/>
        <w:spacing w:after="0" w:line="240" w:lineRule="auto"/>
        <w:jc w:val="both"/>
        <w:rPr>
          <w:sz w:val="24"/>
          <w:szCs w:val="24"/>
        </w:rPr>
      </w:pPr>
      <w:r w:rsidDel="00000000" w:rsidR="00000000" w:rsidRPr="00000000">
        <w:rPr>
          <w:sz w:val="24"/>
          <w:szCs w:val="24"/>
          <w:rtl w:val="0"/>
        </w:rPr>
        <w:t xml:space="preserve">Testing done at Prof. shechter’s lab demonstrated that all conjugates prepared using either set of probes exhibited considerably extended in vivo residence time compared to non-conjugated drugs and were pharmacologically active.</w:t>
      </w:r>
    </w:p>
    <w:p w:rsidR="00000000" w:rsidDel="00000000" w:rsidP="00000000" w:rsidRDefault="00000000" w:rsidRPr="00000000" w14:paraId="00000014">
      <w:pPr>
        <w:widowControl w:val="0"/>
        <w:spacing w:after="0" w:line="276" w:lineRule="auto"/>
        <w:jc w:val="both"/>
        <w:rPr>
          <w:b w:val="1"/>
          <w:color w:val="c00000"/>
          <w:sz w:val="24"/>
          <w:szCs w:val="24"/>
        </w:rPr>
      </w:pPr>
      <w:r w:rsidDel="00000000" w:rsidR="00000000" w:rsidRPr="00000000">
        <w:rPr>
          <w:rtl w:val="0"/>
        </w:rPr>
      </w:r>
    </w:p>
    <w:p w:rsidR="00000000" w:rsidDel="00000000" w:rsidP="00000000" w:rsidRDefault="00000000" w:rsidRPr="00000000" w14:paraId="00000015">
      <w:pPr>
        <w:widowControl w:val="0"/>
        <w:spacing w:after="0" w:line="276" w:lineRule="auto"/>
        <w:jc w:val="both"/>
        <w:rPr>
          <w:b w:val="1"/>
          <w:i w:val="1"/>
          <w:color w:val="c00000"/>
          <w:sz w:val="24"/>
          <w:szCs w:val="24"/>
        </w:rPr>
      </w:pPr>
      <w:r w:rsidDel="00000000" w:rsidR="00000000" w:rsidRPr="00000000">
        <w:rPr>
          <w:rtl w:val="0"/>
        </w:rPr>
      </w:r>
    </w:p>
    <w:p w:rsidR="00000000" w:rsidDel="00000000" w:rsidP="00000000" w:rsidRDefault="00000000" w:rsidRPr="00000000" w14:paraId="00000016">
      <w:pPr>
        <w:widowControl w:val="0"/>
        <w:spacing w:line="276" w:lineRule="auto"/>
        <w:jc w:val="both"/>
        <w:rPr>
          <w:sz w:val="24"/>
          <w:szCs w:val="24"/>
        </w:rPr>
      </w:pPr>
      <w:r w:rsidDel="00000000" w:rsidR="00000000" w:rsidRPr="00000000">
        <w:rPr>
          <w:b w:val="1"/>
          <w:i w:val="1"/>
          <w:color w:val="c00000"/>
          <w:sz w:val="24"/>
          <w:szCs w:val="24"/>
          <w:rtl w:val="0"/>
        </w:rPr>
        <w:t xml:space="preserve">Advantages</w:t>
      </w:r>
      <w:r w:rsidDel="00000000" w:rsidR="00000000" w:rsidRPr="00000000">
        <w:rPr>
          <w:rtl w:val="0"/>
        </w:rPr>
      </w:r>
    </w:p>
    <w:p w:rsidR="00000000" w:rsidDel="00000000" w:rsidP="00000000" w:rsidRDefault="00000000" w:rsidRPr="00000000" w14:paraId="00000017">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sz w:val="24"/>
          <w:szCs w:val="24"/>
          <w:rtl w:val="0"/>
        </w:rPr>
        <w:t xml:space="preserve">Up to a 6-fold increase in peptide/protein drug residence time in the blood.</w:t>
      </w:r>
    </w:p>
    <w:p w:rsidR="00000000" w:rsidDel="00000000" w:rsidP="00000000" w:rsidRDefault="00000000" w:rsidRPr="00000000" w14:paraId="00000018">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Significantly prolongs the life time of the drug without substantially interfering with its pharmacological activity</w:t>
      </w:r>
    </w:p>
    <w:p w:rsidR="00000000" w:rsidDel="00000000" w:rsidP="00000000" w:rsidRDefault="00000000" w:rsidRPr="00000000" w14:paraId="00000019">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sz w:val="24"/>
          <w:szCs w:val="24"/>
          <w:u w:val="none"/>
        </w:rPr>
      </w:pPr>
      <w:r w:rsidDel="00000000" w:rsidR="00000000" w:rsidRPr="00000000">
        <w:rPr>
          <w:sz w:val="24"/>
          <w:szCs w:val="24"/>
          <w:rtl w:val="0"/>
        </w:rPr>
        <w:t xml:space="preserve">Any short-lived amino-containing molecule including: proteins, peptides, amino acids and derivatives, catecholamines, aminoglycosides, nucleotides and derivatives is expected to be exploitable by this technology.</w:t>
      </w:r>
      <w:r w:rsidDel="00000000" w:rsidR="00000000" w:rsidRPr="00000000">
        <w:rPr>
          <w:rtl w:val="0"/>
        </w:rPr>
      </w:r>
    </w:p>
    <w:p w:rsidR="00000000" w:rsidDel="00000000" w:rsidP="00000000" w:rsidRDefault="00000000" w:rsidRPr="00000000" w14:paraId="0000001A">
      <w:pPr>
        <w:widowControl w:val="0"/>
        <w:spacing w:after="0" w:line="276" w:lineRule="auto"/>
        <w:jc w:val="both"/>
        <w:rPr>
          <w:sz w:val="24"/>
          <w:szCs w:val="24"/>
        </w:rPr>
      </w:pPr>
      <w:r w:rsidDel="00000000" w:rsidR="00000000" w:rsidRPr="00000000">
        <w:rPr>
          <w:rtl w:val="0"/>
        </w:rPr>
      </w:r>
    </w:p>
    <w:p w:rsidR="00000000" w:rsidDel="00000000" w:rsidP="00000000" w:rsidRDefault="00000000" w:rsidRPr="00000000" w14:paraId="0000001B">
      <w:pPr>
        <w:widowControl w:val="0"/>
        <w:spacing w:after="120" w:line="276" w:lineRule="auto"/>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i w:val="1"/>
          <w:color w:val="c00000"/>
          <w:sz w:val="24"/>
          <w:szCs w:val="24"/>
          <w:rtl w:val="0"/>
        </w:rPr>
        <w:t xml:space="preserve">Applications</w:t>
      </w: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sz w:val="24"/>
          <w:szCs w:val="24"/>
        </w:rPr>
      </w:pPr>
      <w:r w:rsidDel="00000000" w:rsidR="00000000" w:rsidRPr="00000000">
        <w:rPr>
          <w:sz w:val="24"/>
          <w:szCs w:val="24"/>
          <w:rtl w:val="0"/>
        </w:rPr>
        <w:t xml:space="preserve">Significantly prolonging the life time of short-lived amino/mercapto group containing drugs (e.g. proteins, peptides, amino acids and derivatives, catecholamines, aminoglycosides, nucleotides and derivatives)  without substantially interfering with their pharmacological activity. </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1E">
      <w:pPr>
        <w:spacing w:after="120" w:lineRule="auto"/>
        <w:jc w:val="both"/>
        <w:rPr>
          <w:rFonts w:ascii="Calibri" w:cs="Calibri" w:eastAsia="Calibri" w:hAnsi="Calibri"/>
          <w:b w:val="1"/>
          <w:color w:val="4f81bd"/>
          <w:sz w:val="28"/>
          <w:szCs w:val="28"/>
          <w:u w:val="single"/>
        </w:rPr>
      </w:pPr>
      <w:r w:rsidDel="00000000" w:rsidR="00000000" w:rsidRPr="00000000">
        <w:rPr>
          <w:rFonts w:ascii="Calibri" w:cs="Calibri" w:eastAsia="Calibri" w:hAnsi="Calibri"/>
          <w:b w:val="1"/>
          <w:color w:val="4f81bd"/>
          <w:sz w:val="28"/>
          <w:szCs w:val="28"/>
          <w:u w:val="single"/>
          <w:rtl w:val="0"/>
        </w:rPr>
        <w:t xml:space="preserve">Development Status</w:t>
      </w:r>
    </w:p>
    <w:p w:rsidR="00000000" w:rsidDel="00000000" w:rsidP="00000000" w:rsidRDefault="00000000" w:rsidRPr="00000000" w14:paraId="0000001F">
      <w:pPr>
        <w:spacing w:after="0" w:lineRule="auto"/>
        <w:ind w:left="0" w:firstLine="0"/>
        <w:jc w:val="both"/>
        <w:rPr>
          <w:sz w:val="24"/>
          <w:szCs w:val="24"/>
        </w:rPr>
      </w:pPr>
      <w:r w:rsidDel="00000000" w:rsidR="00000000" w:rsidRPr="00000000">
        <w:rPr>
          <w:sz w:val="24"/>
          <w:szCs w:val="24"/>
          <w:rtl w:val="0"/>
        </w:rPr>
        <w:t xml:space="preserve">A number of protein and peptides drug conjugates have been prepared and tested in vivo in mice and rat models. Fig. 1 compares the glucose-lowering pattern obtained, in mice,  after a single subcutaneous administration of insulin conjugate containing the hydrolysable heterobifunctional spacer (insulin–FMS–MAL–S–(CH</w:t>
      </w:r>
      <w:r w:rsidDel="00000000" w:rsidR="00000000" w:rsidRPr="00000000">
        <w:rPr>
          <w:sz w:val="24"/>
          <w:szCs w:val="24"/>
          <w:vertAlign w:val="subscript"/>
          <w:rtl w:val="0"/>
        </w:rPr>
        <w:t xml:space="preserve">2</w:t>
      </w:r>
      <w:r w:rsidDel="00000000" w:rsidR="00000000" w:rsidRPr="00000000">
        <w:rPr>
          <w:sz w:val="24"/>
          <w:szCs w:val="24"/>
          <w:rtl w:val="0"/>
        </w:rPr>
        <w:t xml:space="preserve">)</w:t>
      </w:r>
      <w:r w:rsidDel="00000000" w:rsidR="00000000" w:rsidRPr="00000000">
        <w:rPr>
          <w:sz w:val="24"/>
          <w:szCs w:val="24"/>
          <w:vertAlign w:val="subscript"/>
          <w:rtl w:val="0"/>
        </w:rPr>
        <w:t xml:space="preserve">15</w:t>
      </w:r>
      <w:r w:rsidDel="00000000" w:rsidR="00000000" w:rsidRPr="00000000">
        <w:rPr>
          <w:sz w:val="24"/>
          <w:szCs w:val="24"/>
          <w:rtl w:val="0"/>
        </w:rPr>
        <w:t xml:space="preserve">–COOH) compared to that of Zn</w:t>
      </w:r>
      <w:r w:rsidDel="00000000" w:rsidR="00000000" w:rsidRPr="00000000">
        <w:rPr>
          <w:sz w:val="24"/>
          <w:szCs w:val="24"/>
          <w:vertAlign w:val="superscript"/>
          <w:rtl w:val="0"/>
        </w:rPr>
        <w:t xml:space="preserve">+2</w:t>
      </w:r>
      <w:r w:rsidDel="00000000" w:rsidR="00000000" w:rsidRPr="00000000">
        <w:rPr>
          <w:sz w:val="24"/>
          <w:szCs w:val="24"/>
          <w:rtl w:val="0"/>
        </w:rPr>
        <w:t xml:space="preserve">-free insulin at similar doses (0.17 nmol/mouse). As shown, the insulin-derivative had a flat glucose-lowering pattern, about twofold more prolonged than that of insulin. In terms of area under the curve, insulin–FMS–MAL–S–(CH</w:t>
      </w:r>
      <w:r w:rsidDel="00000000" w:rsidR="00000000" w:rsidRPr="00000000">
        <w:rPr>
          <w:sz w:val="24"/>
          <w:szCs w:val="24"/>
          <w:vertAlign w:val="subscript"/>
          <w:rtl w:val="0"/>
        </w:rPr>
        <w:t xml:space="preserve">2</w:t>
      </w:r>
      <w:r w:rsidDel="00000000" w:rsidR="00000000" w:rsidRPr="00000000">
        <w:rPr>
          <w:sz w:val="24"/>
          <w:szCs w:val="24"/>
          <w:rtl w:val="0"/>
        </w:rPr>
        <w:t xml:space="preserve">)</w:t>
      </w:r>
      <w:r w:rsidDel="00000000" w:rsidR="00000000" w:rsidRPr="00000000">
        <w:rPr>
          <w:sz w:val="24"/>
          <w:szCs w:val="24"/>
          <w:vertAlign w:val="subscript"/>
          <w:rtl w:val="0"/>
        </w:rPr>
        <w:t xml:space="preserve">15</w:t>
      </w:r>
      <w:r w:rsidDel="00000000" w:rsidR="00000000" w:rsidRPr="00000000">
        <w:rPr>
          <w:sz w:val="24"/>
          <w:szCs w:val="24"/>
          <w:rtl w:val="0"/>
        </w:rPr>
        <w:t xml:space="preserve">–COOH resembled the native hormone. Similarly, Fig. 2 shows a comparison between the glucose-lowering pattern obtained after a single administration of a non-hydrolyzable insulin conjugate (insulin-CO-(CH</w:t>
      </w:r>
      <w:r w:rsidDel="00000000" w:rsidR="00000000" w:rsidRPr="00000000">
        <w:rPr>
          <w:sz w:val="24"/>
          <w:szCs w:val="24"/>
          <w:vertAlign w:val="subscript"/>
          <w:rtl w:val="0"/>
        </w:rPr>
        <w:t xml:space="preserve">2</w:t>
      </w:r>
      <w:r w:rsidDel="00000000" w:rsidR="00000000" w:rsidRPr="00000000">
        <w:rPr>
          <w:sz w:val="24"/>
          <w:szCs w:val="24"/>
          <w:rtl w:val="0"/>
        </w:rPr>
        <w:t xml:space="preserve">)</w:t>
      </w:r>
      <w:r w:rsidDel="00000000" w:rsidR="00000000" w:rsidRPr="00000000">
        <w:rPr>
          <w:sz w:val="24"/>
          <w:szCs w:val="24"/>
          <w:vertAlign w:val="subscript"/>
          <w:rtl w:val="0"/>
        </w:rPr>
        <w:t xml:space="preserve">15</w:t>
      </w:r>
      <w:r w:rsidDel="00000000" w:rsidR="00000000" w:rsidRPr="00000000">
        <w:rPr>
          <w:sz w:val="24"/>
          <w:szCs w:val="24"/>
          <w:rtl w:val="0"/>
        </w:rPr>
        <w:t xml:space="preserve">-SO</w:t>
      </w:r>
      <w:r w:rsidDel="00000000" w:rsidR="00000000" w:rsidRPr="00000000">
        <w:rPr>
          <w:sz w:val="24"/>
          <w:szCs w:val="24"/>
          <w:vertAlign w:val="subscript"/>
          <w:rtl w:val="0"/>
        </w:rPr>
        <w:t xml:space="preserve">3</w:t>
      </w:r>
      <w:r w:rsidDel="00000000" w:rsidR="00000000" w:rsidRPr="00000000">
        <w:rPr>
          <w:sz w:val="24"/>
          <w:szCs w:val="24"/>
          <w:rtl w:val="0"/>
        </w:rPr>
        <w:t xml:space="preserve">H  to that of Zn</w:t>
      </w:r>
      <w:r w:rsidDel="00000000" w:rsidR="00000000" w:rsidRPr="00000000">
        <w:rPr>
          <w:sz w:val="24"/>
          <w:szCs w:val="24"/>
          <w:vertAlign w:val="superscript"/>
          <w:rtl w:val="0"/>
        </w:rPr>
        <w:t xml:space="preserve">2+</w:t>
      </w:r>
      <w:r w:rsidDel="00000000" w:rsidR="00000000" w:rsidRPr="00000000">
        <w:rPr>
          <w:sz w:val="24"/>
          <w:szCs w:val="24"/>
          <w:rtl w:val="0"/>
        </w:rPr>
        <w:t xml:space="preserve">-free insulin, both administered subcutaneously at a low dose to CD1-mice (0.69 nmole/ mouse). As shown in Fig. 2, insulin-CO-(CH</w:t>
      </w:r>
      <w:r w:rsidDel="00000000" w:rsidR="00000000" w:rsidRPr="00000000">
        <w:rPr>
          <w:sz w:val="24"/>
          <w:szCs w:val="24"/>
          <w:vertAlign w:val="subscript"/>
          <w:rtl w:val="0"/>
        </w:rPr>
        <w:t xml:space="preserve">2</w:t>
      </w:r>
      <w:r w:rsidDel="00000000" w:rsidR="00000000" w:rsidRPr="00000000">
        <w:rPr>
          <w:sz w:val="24"/>
          <w:szCs w:val="24"/>
          <w:rtl w:val="0"/>
        </w:rPr>
        <w:t xml:space="preserve">)</w:t>
      </w:r>
      <w:r w:rsidDel="00000000" w:rsidR="00000000" w:rsidRPr="00000000">
        <w:rPr>
          <w:sz w:val="24"/>
          <w:szCs w:val="24"/>
          <w:vertAlign w:val="subscript"/>
          <w:rtl w:val="0"/>
        </w:rPr>
        <w:t xml:space="preserve">15</w:t>
      </w:r>
      <w:r w:rsidDel="00000000" w:rsidR="00000000" w:rsidRPr="00000000">
        <w:rPr>
          <w:sz w:val="24"/>
          <w:szCs w:val="24"/>
          <w:rtl w:val="0"/>
        </w:rPr>
        <w:t xml:space="preserve">-SO</w:t>
      </w:r>
      <w:r w:rsidDel="00000000" w:rsidR="00000000" w:rsidRPr="00000000">
        <w:rPr>
          <w:sz w:val="24"/>
          <w:szCs w:val="24"/>
          <w:vertAlign w:val="subscript"/>
          <w:rtl w:val="0"/>
        </w:rPr>
        <w:t xml:space="preserve">3</w:t>
      </w:r>
      <w:r w:rsidDel="00000000" w:rsidR="00000000" w:rsidRPr="00000000">
        <w:rPr>
          <w:sz w:val="24"/>
          <w:szCs w:val="24"/>
          <w:rtl w:val="0"/>
        </w:rPr>
        <w:t xml:space="preserve">H had a flat glucose-lowering pattern (t</w:t>
      </w:r>
      <w:r w:rsidDel="00000000" w:rsidR="00000000" w:rsidRPr="00000000">
        <w:rPr>
          <w:sz w:val="24"/>
          <w:szCs w:val="24"/>
          <w:vertAlign w:val="subscript"/>
          <w:rtl w:val="0"/>
        </w:rPr>
        <w:t xml:space="preserve">1/2</w:t>
      </w:r>
      <w:r w:rsidDel="00000000" w:rsidR="00000000" w:rsidRPr="00000000">
        <w:rPr>
          <w:sz w:val="24"/>
          <w:szCs w:val="24"/>
          <w:rtl w:val="0"/>
        </w:rPr>
        <w:t xml:space="preserve"> 6.4±0.3 hrs), which was about 3-fold more prolonged than that of insulin (t</w:t>
      </w:r>
      <w:r w:rsidDel="00000000" w:rsidR="00000000" w:rsidRPr="00000000">
        <w:rPr>
          <w:sz w:val="24"/>
          <w:szCs w:val="24"/>
          <w:vertAlign w:val="subscript"/>
          <w:rtl w:val="0"/>
        </w:rPr>
        <w:t xml:space="preserve">1/2</w:t>
      </w:r>
      <w:r w:rsidDel="00000000" w:rsidR="00000000" w:rsidRPr="00000000">
        <w:rPr>
          <w:sz w:val="24"/>
          <w:szCs w:val="24"/>
          <w:rtl w:val="0"/>
        </w:rPr>
        <w:t xml:space="preserve"> 2±0.2 hrs). In terms of area under the curve, insulin-CO-(CH</w:t>
      </w:r>
      <w:r w:rsidDel="00000000" w:rsidR="00000000" w:rsidRPr="00000000">
        <w:rPr>
          <w:sz w:val="24"/>
          <w:szCs w:val="24"/>
          <w:vertAlign w:val="subscript"/>
          <w:rtl w:val="0"/>
        </w:rPr>
        <w:t xml:space="preserve">2</w:t>
      </w:r>
      <w:r w:rsidDel="00000000" w:rsidR="00000000" w:rsidRPr="00000000">
        <w:rPr>
          <w:sz w:val="24"/>
          <w:szCs w:val="24"/>
          <w:rtl w:val="0"/>
        </w:rPr>
        <w:t xml:space="preserve">)</w:t>
      </w:r>
      <w:r w:rsidDel="00000000" w:rsidR="00000000" w:rsidRPr="00000000">
        <w:rPr>
          <w:sz w:val="24"/>
          <w:szCs w:val="24"/>
          <w:vertAlign w:val="subscript"/>
          <w:rtl w:val="0"/>
        </w:rPr>
        <w:t xml:space="preserve">15</w:t>
      </w:r>
      <w:r w:rsidDel="00000000" w:rsidR="00000000" w:rsidRPr="00000000">
        <w:rPr>
          <w:sz w:val="24"/>
          <w:szCs w:val="24"/>
          <w:rtl w:val="0"/>
        </w:rPr>
        <w:t xml:space="preserve">-SO</w:t>
      </w:r>
      <w:r w:rsidDel="00000000" w:rsidR="00000000" w:rsidRPr="00000000">
        <w:rPr>
          <w:sz w:val="24"/>
          <w:szCs w:val="24"/>
          <w:vertAlign w:val="subscript"/>
          <w:rtl w:val="0"/>
        </w:rPr>
        <w:t xml:space="preserve">3</w:t>
      </w:r>
      <w:r w:rsidDel="00000000" w:rsidR="00000000" w:rsidRPr="00000000">
        <w:rPr>
          <w:sz w:val="24"/>
          <w:szCs w:val="24"/>
          <w:rtl w:val="0"/>
        </w:rPr>
        <w:t xml:space="preserve">H resembled that of the native hormone. </w:t>
      </w:r>
    </w:p>
    <w:p w:rsidR="00000000" w:rsidDel="00000000" w:rsidP="00000000" w:rsidRDefault="00000000" w:rsidRPr="00000000" w14:paraId="00000020">
      <w:pPr>
        <w:spacing w:after="0" w:lineRule="auto"/>
        <w:ind w:left="0" w:firstLine="0"/>
        <w:jc w:val="both"/>
        <w:rPr>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spacing w:after="0" w:lineRule="auto"/>
              <w:jc w:val="both"/>
              <w:rPr>
                <w:sz w:val="24"/>
                <w:szCs w:val="24"/>
              </w:rPr>
            </w:pPr>
            <w:r w:rsidDel="00000000" w:rsidR="00000000" w:rsidRPr="00000000">
              <w:rPr>
                <w:sz w:val="24"/>
                <w:szCs w:val="24"/>
              </w:rPr>
              <w:drawing>
                <wp:inline distB="114300" distT="114300" distL="114300" distR="114300">
                  <wp:extent cx="2838450" cy="2159000"/>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838450" cy="21590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Pr>
              <w:drawing>
                <wp:inline distB="114300" distT="114300" distL="114300" distR="114300">
                  <wp:extent cx="2838450" cy="2324100"/>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838450" cy="2324100"/>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b w:val="1"/>
                <w:sz w:val="20"/>
                <w:szCs w:val="20"/>
                <w:rtl w:val="0"/>
              </w:rPr>
              <w:t xml:space="preserve">Fig. 1.</w:t>
            </w:r>
            <w:r w:rsidDel="00000000" w:rsidR="00000000" w:rsidRPr="00000000">
              <w:rPr>
                <w:sz w:val="20"/>
                <w:szCs w:val="20"/>
                <w:rtl w:val="0"/>
              </w:rPr>
              <w:t xml:space="preserve"> Comparison of circulating glucose levels in mice following a single subcutaneous administration of insulin–FMS–MAL–S–(CH</w:t>
            </w:r>
            <w:r w:rsidDel="00000000" w:rsidR="00000000" w:rsidRPr="00000000">
              <w:rPr>
                <w:sz w:val="20"/>
                <w:szCs w:val="20"/>
                <w:vertAlign w:val="subscript"/>
                <w:rtl w:val="0"/>
              </w:rPr>
              <w:t xml:space="preserve">2</w:t>
            </w:r>
            <w:r w:rsidDel="00000000" w:rsidR="00000000" w:rsidRPr="00000000">
              <w:rPr>
                <w:sz w:val="20"/>
                <w:szCs w:val="20"/>
                <w:rtl w:val="0"/>
              </w:rPr>
              <w:t xml:space="preserve">)</w:t>
            </w:r>
            <w:r w:rsidDel="00000000" w:rsidR="00000000" w:rsidRPr="00000000">
              <w:rPr>
                <w:sz w:val="20"/>
                <w:szCs w:val="20"/>
                <w:vertAlign w:val="subscript"/>
                <w:rtl w:val="0"/>
              </w:rPr>
              <w:t xml:space="preserve">15</w:t>
            </w:r>
            <w:r w:rsidDel="00000000" w:rsidR="00000000" w:rsidRPr="00000000">
              <w:rPr>
                <w:sz w:val="20"/>
                <w:szCs w:val="20"/>
                <w:rtl w:val="0"/>
              </w:rPr>
              <w:t xml:space="preserve">–COOH or Zn</w:t>
            </w:r>
            <w:r w:rsidDel="00000000" w:rsidR="00000000" w:rsidRPr="00000000">
              <w:rPr>
                <w:sz w:val="20"/>
                <w:szCs w:val="20"/>
                <w:vertAlign w:val="superscript"/>
                <w:rtl w:val="0"/>
              </w:rPr>
              <w:t xml:space="preserve">2+</w:t>
            </w:r>
            <w:r w:rsidDel="00000000" w:rsidR="00000000" w:rsidRPr="00000000">
              <w:rPr>
                <w:sz w:val="20"/>
                <w:szCs w:val="20"/>
                <w:rtl w:val="0"/>
              </w:rPr>
              <w:t xml:space="preserve">-free insulin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after="0" w:line="240" w:lineRule="auto"/>
              <w:rPr>
                <w:sz w:val="20"/>
                <w:szCs w:val="20"/>
              </w:rPr>
            </w:pPr>
            <w:r w:rsidDel="00000000" w:rsidR="00000000" w:rsidRPr="00000000">
              <w:rPr>
                <w:b w:val="1"/>
                <w:sz w:val="20"/>
                <w:szCs w:val="20"/>
                <w:rtl w:val="0"/>
              </w:rPr>
              <w:t xml:space="preserve">Fig. 2.</w:t>
            </w:r>
            <w:r w:rsidDel="00000000" w:rsidR="00000000" w:rsidRPr="00000000">
              <w:rPr>
                <w:sz w:val="20"/>
                <w:szCs w:val="20"/>
                <w:rtl w:val="0"/>
              </w:rPr>
              <w:t xml:space="preserve">Comparison of circulating glucose levels in mice following a single subcutaneous administration of insulin-CO-(CH</w:t>
            </w:r>
            <w:r w:rsidDel="00000000" w:rsidR="00000000" w:rsidRPr="00000000">
              <w:rPr>
                <w:sz w:val="20"/>
                <w:szCs w:val="20"/>
                <w:vertAlign w:val="subscript"/>
                <w:rtl w:val="0"/>
              </w:rPr>
              <w:t xml:space="preserve">2</w:t>
            </w:r>
            <w:r w:rsidDel="00000000" w:rsidR="00000000" w:rsidRPr="00000000">
              <w:rPr>
                <w:sz w:val="20"/>
                <w:szCs w:val="20"/>
                <w:rtl w:val="0"/>
              </w:rPr>
              <w:t xml:space="preserve">)</w:t>
            </w:r>
            <w:r w:rsidDel="00000000" w:rsidR="00000000" w:rsidRPr="00000000">
              <w:rPr>
                <w:sz w:val="20"/>
                <w:szCs w:val="20"/>
                <w:vertAlign w:val="subscript"/>
                <w:rtl w:val="0"/>
              </w:rPr>
              <w:t xml:space="preserve">15</w:t>
            </w:r>
            <w:r w:rsidDel="00000000" w:rsidR="00000000" w:rsidRPr="00000000">
              <w:rPr>
                <w:sz w:val="20"/>
                <w:szCs w:val="20"/>
                <w:rtl w:val="0"/>
              </w:rPr>
              <w:t xml:space="preserve">-SO</w:t>
            </w:r>
            <w:r w:rsidDel="00000000" w:rsidR="00000000" w:rsidRPr="00000000">
              <w:rPr>
                <w:sz w:val="20"/>
                <w:szCs w:val="20"/>
                <w:vertAlign w:val="subscript"/>
                <w:rtl w:val="0"/>
              </w:rPr>
              <w:t xml:space="preserve">3</w:t>
            </w:r>
            <w:r w:rsidDel="00000000" w:rsidR="00000000" w:rsidRPr="00000000">
              <w:rPr>
                <w:sz w:val="20"/>
                <w:szCs w:val="20"/>
                <w:rtl w:val="0"/>
              </w:rPr>
              <w:t xml:space="preserve">H  or Zn</w:t>
            </w:r>
            <w:r w:rsidDel="00000000" w:rsidR="00000000" w:rsidRPr="00000000">
              <w:rPr>
                <w:sz w:val="20"/>
                <w:szCs w:val="20"/>
                <w:vertAlign w:val="superscript"/>
                <w:rtl w:val="0"/>
              </w:rPr>
              <w:t xml:space="preserve">2+</w:t>
            </w:r>
            <w:r w:rsidDel="00000000" w:rsidR="00000000" w:rsidRPr="00000000">
              <w:rPr>
                <w:sz w:val="20"/>
                <w:szCs w:val="20"/>
                <w:rtl w:val="0"/>
              </w:rPr>
              <w:t xml:space="preserve">-free insulin</w:t>
            </w:r>
          </w:p>
        </w:tc>
      </w:tr>
    </w:tbl>
    <w:p w:rsidR="00000000" w:rsidDel="00000000" w:rsidP="00000000" w:rsidRDefault="00000000" w:rsidRPr="00000000" w14:paraId="00000025">
      <w:pPr>
        <w:jc w:val="both"/>
        <w:rPr>
          <w:sz w:val="24"/>
          <w:szCs w:val="24"/>
        </w:rPr>
      </w:pPr>
      <w:r w:rsidDel="00000000" w:rsidR="00000000" w:rsidRPr="00000000">
        <w:rPr>
          <w:sz w:val="24"/>
          <w:szCs w:val="24"/>
          <w:rtl w:val="0"/>
        </w:rPr>
        <w:t xml:space="preserve">To further demonstrate that insulin–FMS–MAL–S–(CH</w:t>
      </w:r>
      <w:r w:rsidDel="00000000" w:rsidR="00000000" w:rsidRPr="00000000">
        <w:rPr>
          <w:sz w:val="24"/>
          <w:szCs w:val="24"/>
          <w:vertAlign w:val="subscript"/>
          <w:rtl w:val="0"/>
        </w:rPr>
        <w:t xml:space="preserve">2</w:t>
      </w:r>
      <w:r w:rsidDel="00000000" w:rsidR="00000000" w:rsidRPr="00000000">
        <w:rPr>
          <w:sz w:val="24"/>
          <w:szCs w:val="24"/>
          <w:rtl w:val="0"/>
        </w:rPr>
        <w:t xml:space="preserve">)</w:t>
      </w:r>
      <w:r w:rsidDel="00000000" w:rsidR="00000000" w:rsidRPr="00000000">
        <w:rPr>
          <w:sz w:val="24"/>
          <w:szCs w:val="24"/>
          <w:vertAlign w:val="subscript"/>
          <w:rtl w:val="0"/>
        </w:rPr>
        <w:t xml:space="preserve">15</w:t>
      </w:r>
      <w:r w:rsidDel="00000000" w:rsidR="00000000" w:rsidRPr="00000000">
        <w:rPr>
          <w:sz w:val="24"/>
          <w:szCs w:val="24"/>
          <w:rtl w:val="0"/>
        </w:rPr>
        <w:t xml:space="preserve">–COOH has a prolonged residence time compared to Zn</w:t>
      </w:r>
      <w:r w:rsidDel="00000000" w:rsidR="00000000" w:rsidRPr="00000000">
        <w:rPr>
          <w:sz w:val="24"/>
          <w:szCs w:val="24"/>
          <w:vertAlign w:val="superscript"/>
          <w:rtl w:val="0"/>
        </w:rPr>
        <w:t xml:space="preserve">2+</w:t>
      </w:r>
      <w:r w:rsidDel="00000000" w:rsidR="00000000" w:rsidRPr="00000000">
        <w:rPr>
          <w:sz w:val="24"/>
          <w:szCs w:val="24"/>
          <w:rtl w:val="0"/>
        </w:rPr>
        <w:t xml:space="preserve">-free  insulin, radioactively labeled native insulin and  insulin–FMS–MAL–S–(CH</w:t>
      </w:r>
      <w:r w:rsidDel="00000000" w:rsidR="00000000" w:rsidRPr="00000000">
        <w:rPr>
          <w:sz w:val="24"/>
          <w:szCs w:val="24"/>
          <w:vertAlign w:val="subscript"/>
          <w:rtl w:val="0"/>
        </w:rPr>
        <w:t xml:space="preserve">2</w:t>
      </w:r>
      <w:r w:rsidDel="00000000" w:rsidR="00000000" w:rsidRPr="00000000">
        <w:rPr>
          <w:sz w:val="24"/>
          <w:szCs w:val="24"/>
          <w:rtl w:val="0"/>
        </w:rPr>
        <w:t xml:space="preserve">)</w:t>
      </w:r>
      <w:r w:rsidDel="00000000" w:rsidR="00000000" w:rsidRPr="00000000">
        <w:rPr>
          <w:sz w:val="24"/>
          <w:szCs w:val="24"/>
          <w:vertAlign w:val="subscript"/>
          <w:rtl w:val="0"/>
        </w:rPr>
        <w:t xml:space="preserve">15</w:t>
      </w:r>
      <w:r w:rsidDel="00000000" w:rsidR="00000000" w:rsidRPr="00000000">
        <w:rPr>
          <w:sz w:val="24"/>
          <w:szCs w:val="24"/>
          <w:rtl w:val="0"/>
        </w:rPr>
        <w:t xml:space="preserve">–COOH were administered intravenously to rats. Fig. 3 shows that while  Zn</w:t>
      </w:r>
      <w:r w:rsidDel="00000000" w:rsidR="00000000" w:rsidRPr="00000000">
        <w:rPr>
          <w:sz w:val="24"/>
          <w:szCs w:val="24"/>
          <w:vertAlign w:val="superscript"/>
          <w:rtl w:val="0"/>
        </w:rPr>
        <w:t xml:space="preserve">2+</w:t>
      </w:r>
      <w:r w:rsidDel="00000000" w:rsidR="00000000" w:rsidRPr="00000000">
        <w:rPr>
          <w:sz w:val="24"/>
          <w:szCs w:val="24"/>
          <w:rtl w:val="0"/>
        </w:rPr>
        <w:t xml:space="preserve">-free  insulin has a blood t</w:t>
      </w:r>
      <w:r w:rsidDel="00000000" w:rsidR="00000000" w:rsidRPr="00000000">
        <w:rPr>
          <w:sz w:val="24"/>
          <w:szCs w:val="24"/>
          <w:vertAlign w:val="subscript"/>
          <w:rtl w:val="0"/>
        </w:rPr>
        <w:t xml:space="preserve">½</w:t>
      </w:r>
      <w:r w:rsidDel="00000000" w:rsidR="00000000" w:rsidRPr="00000000">
        <w:rPr>
          <w:sz w:val="24"/>
          <w:szCs w:val="24"/>
          <w:rtl w:val="0"/>
        </w:rPr>
        <w:t xml:space="preserve"> value of 3.3±0.4 h, insulin–FMS–MAL–S–(CH</w:t>
      </w:r>
      <w:r w:rsidDel="00000000" w:rsidR="00000000" w:rsidRPr="00000000">
        <w:rPr>
          <w:sz w:val="24"/>
          <w:szCs w:val="24"/>
          <w:vertAlign w:val="subscript"/>
          <w:rtl w:val="0"/>
        </w:rPr>
        <w:t xml:space="preserve">2</w:t>
      </w:r>
      <w:r w:rsidDel="00000000" w:rsidR="00000000" w:rsidRPr="00000000">
        <w:rPr>
          <w:sz w:val="24"/>
          <w:szCs w:val="24"/>
          <w:rtl w:val="0"/>
        </w:rPr>
        <w:t xml:space="preserve">)</w:t>
      </w:r>
      <w:r w:rsidDel="00000000" w:rsidR="00000000" w:rsidRPr="00000000">
        <w:rPr>
          <w:sz w:val="24"/>
          <w:szCs w:val="24"/>
          <w:vertAlign w:val="subscript"/>
          <w:rtl w:val="0"/>
        </w:rPr>
        <w:t xml:space="preserve">15</w:t>
      </w:r>
      <w:r w:rsidDel="00000000" w:rsidR="00000000" w:rsidRPr="00000000">
        <w:rPr>
          <w:sz w:val="24"/>
          <w:szCs w:val="24"/>
          <w:rtl w:val="0"/>
        </w:rPr>
        <w:t xml:space="preserve">–COOH has a t</w:t>
      </w:r>
      <w:r w:rsidDel="00000000" w:rsidR="00000000" w:rsidRPr="00000000">
        <w:rPr>
          <w:sz w:val="24"/>
          <w:szCs w:val="24"/>
          <w:vertAlign w:val="subscript"/>
          <w:rtl w:val="0"/>
        </w:rPr>
        <w:t xml:space="preserve">½</w:t>
      </w:r>
      <w:r w:rsidDel="00000000" w:rsidR="00000000" w:rsidRPr="00000000">
        <w:rPr>
          <w:sz w:val="24"/>
          <w:szCs w:val="24"/>
          <w:rtl w:val="0"/>
        </w:rPr>
        <w:t xml:space="preserve"> value of 17±1 h, and was still present in the blood upto 30 hours post injection.  </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736032" cy="2108835"/>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736032" cy="2108835"/>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b w:val="1"/>
                <w:sz w:val="20"/>
                <w:szCs w:val="20"/>
                <w:rtl w:val="0"/>
              </w:rPr>
              <w:t xml:space="preserve">Fig. 3.</w:t>
            </w:r>
            <w:r w:rsidDel="00000000" w:rsidR="00000000" w:rsidRPr="00000000">
              <w:rPr>
                <w:sz w:val="20"/>
                <w:szCs w:val="20"/>
                <w:rtl w:val="0"/>
              </w:rPr>
              <w:t xml:space="preserve"> Comparison of residence time of </w:t>
            </w:r>
            <w:r w:rsidDel="00000000" w:rsidR="00000000" w:rsidRPr="00000000">
              <w:rPr>
                <w:sz w:val="20"/>
                <w:szCs w:val="20"/>
                <w:vertAlign w:val="superscript"/>
                <w:rtl w:val="0"/>
              </w:rPr>
              <w:t xml:space="preserve">125</w:t>
            </w:r>
            <w:r w:rsidDel="00000000" w:rsidR="00000000" w:rsidRPr="00000000">
              <w:rPr>
                <w:sz w:val="20"/>
                <w:szCs w:val="20"/>
                <w:rtl w:val="0"/>
              </w:rPr>
              <w:t xml:space="preserve">I-Insulin–FMS–MAL–S–(CH</w:t>
            </w:r>
            <w:r w:rsidDel="00000000" w:rsidR="00000000" w:rsidRPr="00000000">
              <w:rPr>
                <w:sz w:val="20"/>
                <w:szCs w:val="20"/>
                <w:vertAlign w:val="subscript"/>
                <w:rtl w:val="0"/>
              </w:rPr>
              <w:t xml:space="preserve">2</w:t>
            </w:r>
            <w:r w:rsidDel="00000000" w:rsidR="00000000" w:rsidRPr="00000000">
              <w:rPr>
                <w:sz w:val="20"/>
                <w:szCs w:val="20"/>
                <w:rtl w:val="0"/>
              </w:rPr>
              <w:t xml:space="preserve">)</w:t>
            </w:r>
            <w:r w:rsidDel="00000000" w:rsidR="00000000" w:rsidRPr="00000000">
              <w:rPr>
                <w:sz w:val="20"/>
                <w:szCs w:val="20"/>
                <w:vertAlign w:val="subscript"/>
                <w:rtl w:val="0"/>
              </w:rPr>
              <w:t xml:space="preserve">15</w:t>
            </w:r>
            <w:r w:rsidDel="00000000" w:rsidR="00000000" w:rsidRPr="00000000">
              <w:rPr>
                <w:sz w:val="20"/>
                <w:szCs w:val="20"/>
                <w:rtl w:val="0"/>
              </w:rPr>
              <w:t xml:space="preserve">–COOH and Zn</w:t>
            </w:r>
            <w:r w:rsidDel="00000000" w:rsidR="00000000" w:rsidRPr="00000000">
              <w:rPr>
                <w:sz w:val="20"/>
                <w:szCs w:val="20"/>
                <w:vertAlign w:val="superscript"/>
                <w:rtl w:val="0"/>
              </w:rPr>
              <w:t xml:space="preserve">2+</w:t>
            </w:r>
            <w:r w:rsidDel="00000000" w:rsidR="00000000" w:rsidRPr="00000000">
              <w:rPr>
                <w:sz w:val="20"/>
                <w:szCs w:val="20"/>
                <w:rtl w:val="0"/>
              </w:rPr>
              <w:t xml:space="preserve">-free insulin following intravenous administration into rats</w:t>
            </w:r>
          </w:p>
        </w:tc>
      </w:tr>
    </w:tbl>
    <w:p w:rsidR="00000000" w:rsidDel="00000000" w:rsidP="00000000" w:rsidRDefault="00000000" w:rsidRPr="00000000" w14:paraId="00000029">
      <w:pPr>
        <w:jc w:val="both"/>
        <w:rPr>
          <w:sz w:val="24"/>
          <w:szCs w:val="24"/>
        </w:rPr>
      </w:pPr>
      <w:r w:rsidDel="00000000" w:rsidR="00000000" w:rsidRPr="00000000">
        <w:rPr>
          <w:sz w:val="24"/>
          <w:szCs w:val="24"/>
          <w:rtl w:val="0"/>
        </w:rPr>
        <w:t xml:space="preserve">Another important peptide used to treat  type 2 diabetes mellitus is exendin-4. Exendin-4 is a peptide agonist of the glucagon-like peptide (GLP) receptor that promotes insulin secretion. Fig. 4 shows the glucose lowering effect of native-exendin-4 compared to that of exendin-4–FMS–MAL–S– (CH</w:t>
      </w:r>
      <w:r w:rsidDel="00000000" w:rsidR="00000000" w:rsidRPr="00000000">
        <w:rPr>
          <w:sz w:val="24"/>
          <w:szCs w:val="24"/>
          <w:vertAlign w:val="subscript"/>
          <w:rtl w:val="0"/>
        </w:rPr>
        <w:t xml:space="preserve">2</w:t>
      </w:r>
      <w:r w:rsidDel="00000000" w:rsidR="00000000" w:rsidRPr="00000000">
        <w:rPr>
          <w:sz w:val="24"/>
          <w:szCs w:val="24"/>
          <w:rtl w:val="0"/>
        </w:rPr>
        <w:t xml:space="preserve">)</w:t>
      </w:r>
      <w:r w:rsidDel="00000000" w:rsidR="00000000" w:rsidRPr="00000000">
        <w:rPr>
          <w:sz w:val="24"/>
          <w:szCs w:val="24"/>
          <w:vertAlign w:val="subscript"/>
          <w:rtl w:val="0"/>
        </w:rPr>
        <w:t xml:space="preserve">15</w:t>
      </w:r>
      <w:r w:rsidDel="00000000" w:rsidR="00000000" w:rsidRPr="00000000">
        <w:rPr>
          <w:sz w:val="24"/>
          <w:szCs w:val="24"/>
          <w:rtl w:val="0"/>
        </w:rPr>
        <w:t xml:space="preserve">–COOH, both administered at a dose of 0.24 nmol/CD1 mouse. Following subcutaneous administration of Exendin-4–FMS–MAL–S–(CH</w:t>
      </w:r>
      <w:r w:rsidDel="00000000" w:rsidR="00000000" w:rsidRPr="00000000">
        <w:rPr>
          <w:sz w:val="24"/>
          <w:szCs w:val="24"/>
          <w:vertAlign w:val="subscript"/>
          <w:rtl w:val="0"/>
        </w:rPr>
        <w:t xml:space="preserve">2</w:t>
      </w:r>
      <w:r w:rsidDel="00000000" w:rsidR="00000000" w:rsidRPr="00000000">
        <w:rPr>
          <w:sz w:val="24"/>
          <w:szCs w:val="24"/>
          <w:rtl w:val="0"/>
        </w:rPr>
        <w:t xml:space="preserve">)</w:t>
      </w:r>
      <w:r w:rsidDel="00000000" w:rsidR="00000000" w:rsidRPr="00000000">
        <w:rPr>
          <w:sz w:val="24"/>
          <w:szCs w:val="24"/>
          <w:vertAlign w:val="subscript"/>
          <w:rtl w:val="0"/>
        </w:rPr>
        <w:t xml:space="preserve">15</w:t>
      </w:r>
      <w:r w:rsidDel="00000000" w:rsidR="00000000" w:rsidRPr="00000000">
        <w:rPr>
          <w:sz w:val="24"/>
          <w:szCs w:val="24"/>
          <w:rtl w:val="0"/>
        </w:rPr>
        <w:t xml:space="preserve">–COOH, circulating glucose reached its lowest concentration 3h after administration and this level was maintained over a period of 20h. Returning to initial glucose level took place with a t</w:t>
      </w:r>
      <w:r w:rsidDel="00000000" w:rsidR="00000000" w:rsidRPr="00000000">
        <w:rPr>
          <w:sz w:val="24"/>
          <w:szCs w:val="24"/>
          <w:vertAlign w:val="subscript"/>
          <w:rtl w:val="0"/>
        </w:rPr>
        <w:t xml:space="preserve">½</w:t>
      </w:r>
      <w:r w:rsidDel="00000000" w:rsidR="00000000" w:rsidRPr="00000000">
        <w:rPr>
          <w:sz w:val="24"/>
          <w:szCs w:val="24"/>
          <w:rtl w:val="0"/>
        </w:rPr>
        <w:t xml:space="preserve"> value of 28±2 h, which is 4.7 times longer than that obtained by the same dose of the native hormone. Fig. 5 shows a comparison done using exendin-4-CO-(CH</w:t>
      </w:r>
      <w:r w:rsidDel="00000000" w:rsidR="00000000" w:rsidRPr="00000000">
        <w:rPr>
          <w:sz w:val="24"/>
          <w:szCs w:val="24"/>
          <w:vertAlign w:val="subscript"/>
          <w:rtl w:val="0"/>
        </w:rPr>
        <w:t xml:space="preserve">2</w:t>
      </w:r>
      <w:r w:rsidDel="00000000" w:rsidR="00000000" w:rsidRPr="00000000">
        <w:rPr>
          <w:sz w:val="24"/>
          <w:szCs w:val="24"/>
          <w:rtl w:val="0"/>
        </w:rPr>
        <w:t xml:space="preserve">)</w:t>
      </w:r>
      <w:r w:rsidDel="00000000" w:rsidR="00000000" w:rsidRPr="00000000">
        <w:rPr>
          <w:sz w:val="24"/>
          <w:szCs w:val="24"/>
          <w:vertAlign w:val="subscript"/>
          <w:rtl w:val="0"/>
        </w:rPr>
        <w:t xml:space="preserve">15</w:t>
      </w:r>
      <w:r w:rsidDel="00000000" w:rsidR="00000000" w:rsidRPr="00000000">
        <w:rPr>
          <w:sz w:val="24"/>
          <w:szCs w:val="24"/>
          <w:rtl w:val="0"/>
        </w:rPr>
        <w:t xml:space="preserve">-SO</w:t>
      </w:r>
      <w:r w:rsidDel="00000000" w:rsidR="00000000" w:rsidRPr="00000000">
        <w:rPr>
          <w:sz w:val="24"/>
          <w:szCs w:val="24"/>
          <w:vertAlign w:val="subscript"/>
          <w:rtl w:val="0"/>
        </w:rPr>
        <w:t xml:space="preserve">3</w:t>
      </w:r>
      <w:r w:rsidDel="00000000" w:rsidR="00000000" w:rsidRPr="00000000">
        <w:rPr>
          <w:sz w:val="24"/>
          <w:szCs w:val="24"/>
          <w:rtl w:val="0"/>
        </w:rPr>
        <w:t xml:space="preserve">H, a non-hydrolysable probe. Using this probe demonstrates an even higher a t</w:t>
      </w:r>
      <w:r w:rsidDel="00000000" w:rsidR="00000000" w:rsidRPr="00000000">
        <w:rPr>
          <w:sz w:val="24"/>
          <w:szCs w:val="24"/>
          <w:vertAlign w:val="subscript"/>
          <w:rtl w:val="0"/>
        </w:rPr>
        <w:t xml:space="preserve">½</w:t>
      </w:r>
      <w:r w:rsidDel="00000000" w:rsidR="00000000" w:rsidRPr="00000000">
        <w:rPr>
          <w:sz w:val="24"/>
          <w:szCs w:val="24"/>
          <w:rtl w:val="0"/>
        </w:rPr>
        <w:t xml:space="preserve"> value of 32+2 hr. </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2184400"/>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838450" cy="21844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21844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838450" cy="2184400"/>
                          </a:xfrm>
                          <a:prstGeom prst="rect"/>
                          <a:ln/>
                        </pic:spPr>
                      </pic:pic>
                    </a:graphicData>
                  </a:graphic>
                </wp:inline>
              </w:drawing>
            </w:r>
            <w:r w:rsidDel="00000000" w:rsidR="00000000" w:rsidRPr="00000000">
              <w:rPr>
                <w:rtl w:val="0"/>
              </w:rPr>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b w:val="1"/>
                <w:sz w:val="20"/>
                <w:szCs w:val="20"/>
                <w:rtl w:val="0"/>
              </w:rPr>
              <w:t xml:space="preserve">Fig. 4.</w:t>
            </w:r>
            <w:r w:rsidDel="00000000" w:rsidR="00000000" w:rsidRPr="00000000">
              <w:rPr>
                <w:sz w:val="20"/>
                <w:szCs w:val="20"/>
                <w:rtl w:val="0"/>
              </w:rPr>
              <w:t xml:space="preserve"> Comparison of the Glucose lowering pattern of Exendin-4–FMS–MAL–S–(CH</w:t>
            </w:r>
            <w:r w:rsidDel="00000000" w:rsidR="00000000" w:rsidRPr="00000000">
              <w:rPr>
                <w:sz w:val="20"/>
                <w:szCs w:val="20"/>
                <w:vertAlign w:val="subscript"/>
                <w:rtl w:val="0"/>
              </w:rPr>
              <w:t xml:space="preserve">2</w:t>
            </w:r>
            <w:r w:rsidDel="00000000" w:rsidR="00000000" w:rsidRPr="00000000">
              <w:rPr>
                <w:sz w:val="20"/>
                <w:szCs w:val="20"/>
                <w:rtl w:val="0"/>
              </w:rPr>
              <w:t xml:space="preserve">)</w:t>
            </w:r>
            <w:r w:rsidDel="00000000" w:rsidR="00000000" w:rsidRPr="00000000">
              <w:rPr>
                <w:sz w:val="20"/>
                <w:szCs w:val="20"/>
                <w:vertAlign w:val="subscript"/>
                <w:rtl w:val="0"/>
              </w:rPr>
              <w:t xml:space="preserve">15</w:t>
            </w:r>
            <w:r w:rsidDel="00000000" w:rsidR="00000000" w:rsidRPr="00000000">
              <w:rPr>
                <w:sz w:val="20"/>
                <w:szCs w:val="20"/>
                <w:rtl w:val="0"/>
              </w:rPr>
              <w:t xml:space="preserve">–COOH and native peptide following a single subcutaneous administration to CD1-mice.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after="0" w:line="240" w:lineRule="auto"/>
              <w:rPr/>
            </w:pPr>
            <w:r w:rsidDel="00000000" w:rsidR="00000000" w:rsidRPr="00000000">
              <w:rPr>
                <w:b w:val="1"/>
                <w:sz w:val="20"/>
                <w:szCs w:val="20"/>
                <w:rtl w:val="0"/>
              </w:rPr>
              <w:t xml:space="preserve">Fig. 5.</w:t>
            </w:r>
            <w:r w:rsidDel="00000000" w:rsidR="00000000" w:rsidRPr="00000000">
              <w:rPr>
                <w:sz w:val="20"/>
                <w:szCs w:val="20"/>
                <w:rtl w:val="0"/>
              </w:rPr>
              <w:t xml:space="preserve"> Comparison of the Glucose lowering pattern of Exendin-4-CO-(CH</w:t>
            </w:r>
            <w:r w:rsidDel="00000000" w:rsidR="00000000" w:rsidRPr="00000000">
              <w:rPr>
                <w:sz w:val="20"/>
                <w:szCs w:val="20"/>
                <w:vertAlign w:val="subscript"/>
                <w:rtl w:val="0"/>
              </w:rPr>
              <w:t xml:space="preserve">2</w:t>
            </w:r>
            <w:r w:rsidDel="00000000" w:rsidR="00000000" w:rsidRPr="00000000">
              <w:rPr>
                <w:sz w:val="20"/>
                <w:szCs w:val="20"/>
                <w:rtl w:val="0"/>
              </w:rPr>
              <w:t xml:space="preserve">)</w:t>
            </w:r>
            <w:r w:rsidDel="00000000" w:rsidR="00000000" w:rsidRPr="00000000">
              <w:rPr>
                <w:sz w:val="20"/>
                <w:szCs w:val="20"/>
                <w:vertAlign w:val="subscript"/>
                <w:rtl w:val="0"/>
              </w:rPr>
              <w:t xml:space="preserve">15</w:t>
            </w:r>
            <w:r w:rsidDel="00000000" w:rsidR="00000000" w:rsidRPr="00000000">
              <w:rPr>
                <w:sz w:val="20"/>
                <w:szCs w:val="20"/>
                <w:rtl w:val="0"/>
              </w:rPr>
              <w:t xml:space="preserve">-SO</w:t>
            </w:r>
            <w:r w:rsidDel="00000000" w:rsidR="00000000" w:rsidRPr="00000000">
              <w:rPr>
                <w:sz w:val="20"/>
                <w:szCs w:val="20"/>
                <w:vertAlign w:val="subscript"/>
                <w:rtl w:val="0"/>
              </w:rPr>
              <w:t xml:space="preserve">3</w:t>
            </w:r>
            <w:r w:rsidDel="00000000" w:rsidR="00000000" w:rsidRPr="00000000">
              <w:rPr>
                <w:sz w:val="20"/>
                <w:szCs w:val="20"/>
                <w:rtl w:val="0"/>
              </w:rPr>
              <w:t xml:space="preserve">H and native peptide following a single subcutaneous administration to CD1-mice. </w:t>
            </w:r>
            <w:r w:rsidDel="00000000" w:rsidR="00000000" w:rsidRPr="00000000">
              <w:rPr>
                <w:rtl w:val="0"/>
              </w:rPr>
            </w:r>
          </w:p>
        </w:tc>
      </w:tr>
    </w:tbl>
    <w:p w:rsidR="00000000" w:rsidDel="00000000" w:rsidP="00000000" w:rsidRDefault="00000000" w:rsidRPr="00000000" w14:paraId="0000002E">
      <w:pPr>
        <w:jc w:val="both"/>
        <w:rPr>
          <w:sz w:val="24"/>
          <w:szCs w:val="24"/>
        </w:rPr>
      </w:pPr>
      <w:r w:rsidDel="00000000" w:rsidR="00000000" w:rsidRPr="00000000">
        <w:rPr>
          <w:sz w:val="24"/>
          <w:szCs w:val="24"/>
          <w:rtl w:val="0"/>
        </w:rPr>
        <w:t xml:space="preserve">Lastly, the team were able to demonstrate the efficacy of this technology on low-molecular weight targets.  Low molecular-weight amino containing compounds tend to suffer a massive loss of pharmacological potency upon conjugation. Gentamicin is commonly used antibiotic with a molecular weight of only 0.4 kDa. Fig. 6. shows the reactivation over time of Gentamicin–FMS–MAL–S–(CH</w:t>
      </w:r>
      <w:r w:rsidDel="00000000" w:rsidR="00000000" w:rsidRPr="00000000">
        <w:rPr>
          <w:sz w:val="24"/>
          <w:szCs w:val="24"/>
          <w:vertAlign w:val="subscript"/>
          <w:rtl w:val="0"/>
        </w:rPr>
        <w:t xml:space="preserve">2</w:t>
      </w:r>
      <w:r w:rsidDel="00000000" w:rsidR="00000000" w:rsidRPr="00000000">
        <w:rPr>
          <w:sz w:val="24"/>
          <w:szCs w:val="24"/>
          <w:rtl w:val="0"/>
        </w:rPr>
        <w:t xml:space="preserve">)</w:t>
      </w:r>
      <w:r w:rsidDel="00000000" w:rsidR="00000000" w:rsidRPr="00000000">
        <w:rPr>
          <w:sz w:val="24"/>
          <w:szCs w:val="24"/>
          <w:vertAlign w:val="subscript"/>
          <w:rtl w:val="0"/>
        </w:rPr>
        <w:t xml:space="preserve">15</w:t>
      </w:r>
      <w:r w:rsidDel="00000000" w:rsidR="00000000" w:rsidRPr="00000000">
        <w:rPr>
          <w:sz w:val="24"/>
          <w:szCs w:val="24"/>
          <w:rtl w:val="0"/>
        </w:rPr>
        <w:t xml:space="preserve">–COOH. at t=0 the compound has ~3±0.7% the antibacterial potency of native gentamicin. Upon incubation in PBS buffer (pH 7.4) containing 20 mg/ml human serum albumin, the antibacterial potency was generated with a t</w:t>
      </w:r>
      <w:r w:rsidDel="00000000" w:rsidR="00000000" w:rsidRPr="00000000">
        <w:rPr>
          <w:sz w:val="24"/>
          <w:szCs w:val="24"/>
          <w:vertAlign w:val="subscript"/>
          <w:rtl w:val="0"/>
        </w:rPr>
        <w:t xml:space="preserve">½</w:t>
      </w:r>
      <w:r w:rsidDel="00000000" w:rsidR="00000000" w:rsidRPr="00000000">
        <w:rPr>
          <w:sz w:val="24"/>
          <w:szCs w:val="24"/>
          <w:rtl w:val="0"/>
        </w:rPr>
        <w:t xml:space="preserve"> value of 7.1±0.2 h. Gentamicin–FMS–MAL–S–(CH</w:t>
      </w:r>
      <w:r w:rsidDel="00000000" w:rsidR="00000000" w:rsidRPr="00000000">
        <w:rPr>
          <w:sz w:val="24"/>
          <w:szCs w:val="24"/>
          <w:vertAlign w:val="subscript"/>
          <w:rtl w:val="0"/>
        </w:rPr>
        <w:t xml:space="preserve">2</w:t>
      </w:r>
      <w:r w:rsidDel="00000000" w:rsidR="00000000" w:rsidRPr="00000000">
        <w:rPr>
          <w:sz w:val="24"/>
          <w:szCs w:val="24"/>
          <w:rtl w:val="0"/>
        </w:rPr>
        <w:t xml:space="preserve">)</w:t>
      </w:r>
      <w:r w:rsidDel="00000000" w:rsidR="00000000" w:rsidRPr="00000000">
        <w:rPr>
          <w:sz w:val="24"/>
          <w:szCs w:val="24"/>
          <w:vertAlign w:val="subscript"/>
          <w:rtl w:val="0"/>
        </w:rPr>
        <w:t xml:space="preserve">15</w:t>
      </w:r>
      <w:r w:rsidDel="00000000" w:rsidR="00000000" w:rsidRPr="00000000">
        <w:rPr>
          <w:sz w:val="24"/>
          <w:szCs w:val="24"/>
          <w:rtl w:val="0"/>
        </w:rPr>
        <w:t xml:space="preserve">–COOH regained its full (100%) antibacterial potency following 30 h of incubation.</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2235200"/>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838450" cy="22352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b w:val="1"/>
                <w:sz w:val="20"/>
                <w:szCs w:val="20"/>
                <w:rtl w:val="0"/>
              </w:rPr>
              <w:t xml:space="preserve">Fig. 6</w:t>
            </w:r>
            <w:r w:rsidDel="00000000" w:rsidR="00000000" w:rsidRPr="00000000">
              <w:rPr>
                <w:sz w:val="20"/>
                <w:szCs w:val="20"/>
                <w:rtl w:val="0"/>
              </w:rPr>
              <w:t xml:space="preserve">. Time course of in vitro reactivation of Gentamicin–FMS–MAL–S–(CH</w:t>
            </w:r>
            <w:r w:rsidDel="00000000" w:rsidR="00000000" w:rsidRPr="00000000">
              <w:rPr>
                <w:sz w:val="20"/>
                <w:szCs w:val="20"/>
                <w:vertAlign w:val="subscript"/>
                <w:rtl w:val="0"/>
              </w:rPr>
              <w:t xml:space="preserve">2</w:t>
            </w:r>
            <w:r w:rsidDel="00000000" w:rsidR="00000000" w:rsidRPr="00000000">
              <w:rPr>
                <w:sz w:val="20"/>
                <w:szCs w:val="20"/>
                <w:rtl w:val="0"/>
              </w:rPr>
              <w:t xml:space="preserve">)</w:t>
            </w:r>
            <w:r w:rsidDel="00000000" w:rsidR="00000000" w:rsidRPr="00000000">
              <w:rPr>
                <w:sz w:val="20"/>
                <w:szCs w:val="20"/>
                <w:vertAlign w:val="subscript"/>
                <w:rtl w:val="0"/>
              </w:rPr>
              <w:t xml:space="preserve">15</w:t>
            </w:r>
            <w:r w:rsidDel="00000000" w:rsidR="00000000" w:rsidRPr="00000000">
              <w:rPr>
                <w:sz w:val="20"/>
                <w:szCs w:val="20"/>
                <w:rtl w:val="0"/>
              </w:rPr>
              <w:t xml:space="preserve">–COOH incubated in PBS.</w:t>
            </w:r>
          </w:p>
        </w:tc>
      </w:tr>
    </w:tbl>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tbl>
      <w:tblPr>
        <w:tblStyle w:val="Table6"/>
        <w:tblW w:w="9000.0" w:type="dxa"/>
        <w:jc w:val="left"/>
        <w:tblInd w:w="4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170"/>
        <w:gridCol w:w="4830"/>
        <w:tblGridChange w:id="0">
          <w:tblGrid>
            <w:gridCol w:w="4170"/>
            <w:gridCol w:w="48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after="0" w:line="276" w:lineRule="auto"/>
              <w:ind w:right="-97"/>
              <w:jc w:val="both"/>
              <w:rPr>
                <w:rFonts w:ascii="Tahoma" w:cs="Tahoma" w:eastAsia="Tahoma" w:hAnsi="Tahoma"/>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59.00008" w:lineRule="auto"/>
              <w:rPr>
                <w:sz w:val="20"/>
                <w:szCs w:val="20"/>
              </w:rPr>
            </w:pPr>
            <w:r w:rsidDel="00000000" w:rsidR="00000000" w:rsidRPr="00000000">
              <w:rPr>
                <w:rtl w:val="0"/>
              </w:rPr>
            </w:r>
          </w:p>
        </w:tc>
      </w:tr>
      <w:tr>
        <w:trPr>
          <w:trHeight w:val="40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after="0" w:line="276" w:lineRule="auto"/>
              <w:ind w:left="720" w:right="-97" w:firstLine="0"/>
              <w:jc w:val="both"/>
              <w:rPr>
                <w:rFonts w:ascii="Tahoma" w:cs="Tahoma" w:eastAsia="Tahoma" w:hAnsi="Tahoma"/>
                <w:b w:val="1"/>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after="0" w:line="276" w:lineRule="auto"/>
              <w:ind w:right="-97"/>
              <w:jc w:val="both"/>
              <w:rPr>
                <w:rFonts w:ascii="Tahoma" w:cs="Tahoma" w:eastAsia="Tahoma" w:hAnsi="Tahoma"/>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360" w:lineRule="auto"/>
              <w:rPr>
                <w:rFonts w:ascii="Times New Roman" w:cs="Times New Roman" w:eastAsia="Times New Roman" w:hAnsi="Times New Roman"/>
                <w:b w:val="1"/>
                <w:sz w:val="20"/>
                <w:szCs w:val="20"/>
              </w:rPr>
            </w:pPr>
            <w:r w:rsidDel="00000000" w:rsidR="00000000" w:rsidRPr="00000000">
              <w:rPr>
                <w:rtl w:val="0"/>
              </w:rPr>
            </w:r>
          </w:p>
        </w:tc>
      </w:tr>
    </w:tbl>
    <w:p w:rsidR="00000000" w:rsidDel="00000000" w:rsidP="00000000" w:rsidRDefault="00000000" w:rsidRPr="00000000" w14:paraId="00000039">
      <w:pPr>
        <w:widowControl w:val="0"/>
        <w:spacing w:after="0" w:line="276" w:lineRule="auto"/>
        <w:ind w:left="360" w:right="-97"/>
        <w:jc w:val="both"/>
        <w:rPr>
          <w:rFonts w:ascii="Tahoma" w:cs="Tahoma" w:eastAsia="Tahoma" w:hAnsi="Tahoma"/>
          <w:b w:val="1"/>
          <w:sz w:val="20"/>
          <w:szCs w:val="20"/>
        </w:rPr>
      </w:pP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b w:val="1"/>
          <w:color w:val="4f81bd"/>
          <w:sz w:val="28"/>
          <w:szCs w:val="28"/>
          <w:u w:val="single"/>
        </w:rPr>
      </w:pPr>
      <w:r w:rsidDel="00000000" w:rsidR="00000000" w:rsidRPr="00000000">
        <w:rPr>
          <w:rtl w:val="0"/>
        </w:rPr>
      </w:r>
    </w:p>
    <w:p w:rsidR="00000000" w:rsidDel="00000000" w:rsidP="00000000" w:rsidRDefault="00000000" w:rsidRPr="00000000" w14:paraId="0000003B">
      <w:pPr>
        <w:jc w:val="both"/>
        <w:rPr>
          <w:rFonts w:ascii="Tahoma" w:cs="Tahoma" w:eastAsia="Tahoma" w:hAnsi="Tahoma"/>
          <w:sz w:val="20"/>
          <w:szCs w:val="20"/>
        </w:rPr>
      </w:pPr>
      <w:bookmarkStart w:colFirst="0" w:colLast="0" w:name="_gjdgxs" w:id="0"/>
      <w:bookmarkEnd w:id="0"/>
      <w:r w:rsidDel="00000000" w:rsidR="00000000" w:rsidRPr="00000000">
        <w:rPr>
          <w:rtl w:val="0"/>
        </w:rPr>
      </w:r>
    </w:p>
    <w:p w:rsidR="00000000" w:rsidDel="00000000" w:rsidP="00000000" w:rsidRDefault="00000000" w:rsidRPr="00000000" w14:paraId="0000003C">
      <w:pPr>
        <w:jc w:val="both"/>
        <w:rPr>
          <w:rFonts w:ascii="Calibri" w:cs="Calibri" w:eastAsia="Calibri" w:hAnsi="Calibri"/>
          <w:b w:val="1"/>
          <w:color w:val="4f81bd"/>
          <w:sz w:val="28"/>
          <w:szCs w:val="28"/>
          <w:u w:val="single"/>
        </w:rPr>
      </w:pPr>
      <w:r w:rsidDel="00000000" w:rsidR="00000000" w:rsidRPr="00000000">
        <w:rPr>
          <w:rFonts w:ascii="Calibri" w:cs="Calibri" w:eastAsia="Calibri" w:hAnsi="Calibri"/>
          <w:b w:val="1"/>
          <w:color w:val="4f81bd"/>
          <w:sz w:val="28"/>
          <w:szCs w:val="28"/>
          <w:u w:val="single"/>
          <w:rtl w:val="0"/>
        </w:rPr>
        <w:t xml:space="preserve">For additional information please contact:</w:t>
      </w:r>
    </w:p>
    <w:p w:rsidR="00000000" w:rsidDel="00000000" w:rsidP="00000000" w:rsidRDefault="00000000" w:rsidRPr="00000000" w14:paraId="0000003D">
      <w:pPr>
        <w:widowControl w:val="0"/>
        <w:spacing w:after="0" w:line="276" w:lineRule="auto"/>
        <w:ind w:right="-97"/>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Dr. Shay Sela</w:t>
      </w:r>
    </w:p>
    <w:p w:rsidR="00000000" w:rsidDel="00000000" w:rsidP="00000000" w:rsidRDefault="00000000" w:rsidRPr="00000000" w14:paraId="0000003E">
      <w:pPr>
        <w:widowControl w:val="0"/>
        <w:spacing w:after="0" w:line="276" w:lineRule="auto"/>
        <w:ind w:right="-97"/>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VP Business Development Life Sciences </w:t>
      </w:r>
    </w:p>
    <w:p w:rsidR="00000000" w:rsidDel="00000000" w:rsidP="00000000" w:rsidRDefault="00000000" w:rsidRPr="00000000" w14:paraId="0000003F">
      <w:pPr>
        <w:widowControl w:val="0"/>
        <w:spacing w:after="0" w:line="276" w:lineRule="auto"/>
        <w:ind w:right="-97"/>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Tel: +972.8.9344095 </w:t>
      </w:r>
    </w:p>
    <w:p w:rsidR="00000000" w:rsidDel="00000000" w:rsidP="00000000" w:rsidRDefault="00000000" w:rsidRPr="00000000" w14:paraId="00000040">
      <w:pPr>
        <w:widowControl w:val="0"/>
        <w:spacing w:after="0" w:line="276" w:lineRule="auto"/>
        <w:ind w:right="-97"/>
        <w:jc w:val="both"/>
        <w:rPr>
          <w:rFonts w:ascii="Tahoma" w:cs="Tahoma" w:eastAsia="Tahoma" w:hAnsi="Tahoma"/>
          <w:sz w:val="20"/>
          <w:szCs w:val="20"/>
        </w:rPr>
      </w:pPr>
      <w:r w:rsidDel="00000000" w:rsidR="00000000" w:rsidRPr="00000000">
        <w:rPr>
          <w:rFonts w:ascii="Tahoma" w:cs="Tahoma" w:eastAsia="Tahoma" w:hAnsi="Tahoma"/>
          <w:sz w:val="20"/>
          <w:szCs w:val="20"/>
          <w:rtl w:val="0"/>
        </w:rPr>
        <w:t xml:space="preserve">Email: </w:t>
      </w:r>
      <w:hyperlink r:id="rId12">
        <w:r w:rsidDel="00000000" w:rsidR="00000000" w:rsidRPr="00000000">
          <w:rPr>
            <w:color w:val="1f3864"/>
            <w:sz w:val="24"/>
            <w:szCs w:val="24"/>
            <w:u w:val="single"/>
            <w:rtl w:val="0"/>
          </w:rPr>
          <w:t xml:space="preserve">Shay.Sela@weizmann.ac.il</w:t>
        </w:r>
      </w:hyperlink>
      <w:r w:rsidDel="00000000" w:rsidR="00000000" w:rsidRPr="00000000">
        <w:rPr>
          <w:rtl w:val="0"/>
        </w:rPr>
      </w:r>
    </w:p>
    <w:p w:rsidR="00000000" w:rsidDel="00000000" w:rsidP="00000000" w:rsidRDefault="00000000" w:rsidRPr="00000000" w14:paraId="00000041">
      <w:pPr>
        <w:jc w:val="both"/>
        <w:rPr>
          <w:rFonts w:ascii="Tahoma" w:cs="Tahoma" w:eastAsia="Tahoma" w:hAnsi="Tahoma"/>
          <w:sz w:val="20"/>
          <w:szCs w:val="20"/>
        </w:rPr>
      </w:pPr>
      <w:r w:rsidDel="00000000" w:rsidR="00000000" w:rsidRPr="00000000">
        <w:rPr>
          <w:rtl w:val="0"/>
        </w:rPr>
      </w:r>
    </w:p>
    <w:sectPr>
      <w:headerReference r:id="rId13" w:type="default"/>
      <w:footerReference r:id="rId14" w:type="default"/>
      <w:pgSz w:h="15840" w:w="12240"/>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Tahoma">
    <w:embedRegular w:fontKey="{00000000-0000-0000-0000-000000000000}" r:id="rId1" w:subsetted="0"/>
    <w:embedBold w:fontKey="{00000000-0000-0000-0000-000000000000}" r:id="rId2"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tabs>
        <w:tab w:val="center" w:pos="4896"/>
        <w:tab w:val="left" w:pos="5040"/>
        <w:tab w:val="left" w:pos="5760"/>
        <w:tab w:val="left" w:pos="6480"/>
        <w:tab w:val="left" w:pos="7200"/>
        <w:tab w:val="left" w:pos="7920"/>
        <w:tab w:val="left" w:pos="8640"/>
        <w:tab w:val="left" w:pos="9360"/>
      </w:tabs>
      <w:spacing w:after="0" w:before="0" w:line="240" w:lineRule="auto"/>
      <w:ind w:left="0" w:right="-766" w:firstLine="0"/>
      <w:jc w:val="right"/>
      <w:rPr>
        <w:rFonts w:ascii="Calibri" w:cs="Calibri" w:eastAsia="Calibri" w:hAnsi="Calibri"/>
        <w:b w:val="1"/>
        <w:i w:val="1"/>
        <w:smallCaps w:val="0"/>
        <w:strike w:val="0"/>
        <w:color w:val="7f7f7f"/>
        <w:sz w:val="20"/>
        <w:szCs w:val="20"/>
        <w:u w:val="none"/>
        <w:shd w:fill="auto" w:val="clear"/>
        <w:vertAlign w:val="baseline"/>
      </w:rPr>
    </w:pPr>
    <w:r w:rsidDel="00000000" w:rsidR="00000000" w:rsidRPr="00000000">
      <w:rPr>
        <w:rFonts w:ascii="Calibri" w:cs="Calibri" w:eastAsia="Calibri" w:hAnsi="Calibri"/>
        <w:b w:val="1"/>
        <w:i w:val="1"/>
        <w:smallCaps w:val="0"/>
        <w:strike w:val="0"/>
        <w:color w:val="7f7f7f"/>
        <w:sz w:val="18"/>
        <w:szCs w:val="18"/>
        <w:u w:val="none"/>
        <w:shd w:fill="auto" w:val="clear"/>
        <w:vertAlign w:val="baseline"/>
        <w:rtl w:val="0"/>
      </w:rPr>
      <w:t xml:space="preserve"> </w:t>
      <w:tab/>
      <w:tab/>
    </w: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800100</wp:posOffset>
          </wp:positionH>
          <wp:positionV relativeFrom="paragraph">
            <wp:posOffset>0</wp:posOffset>
          </wp:positionV>
          <wp:extent cx="4587240" cy="764540"/>
          <wp:effectExtent b="0" l="0" r="0" t="0"/>
          <wp:wrapSquare wrapText="bothSides" distB="0" distT="0" distL="0" distR="0"/>
          <wp:docPr descr="letter1c" id="7" name="image1.jpg"/>
          <a:graphic>
            <a:graphicData uri="http://schemas.openxmlformats.org/drawingml/2006/picture">
              <pic:pic>
                <pic:nvPicPr>
                  <pic:cNvPr descr="letter1c" id="0" name="image1.jpg"/>
                  <pic:cNvPicPr preferRelativeResize="0"/>
                </pic:nvPicPr>
                <pic:blipFill>
                  <a:blip r:embed="rId1"/>
                  <a:srcRect b="0" l="0" r="0" t="0"/>
                  <a:stretch>
                    <a:fillRect/>
                  </a:stretch>
                </pic:blipFill>
                <pic:spPr>
                  <a:xfrm>
                    <a:off x="0" y="0"/>
                    <a:ext cx="4587240" cy="764540"/>
                  </a:xfrm>
                  <a:prstGeom prst="rect"/>
                  <a:ln/>
                </pic:spPr>
              </pic:pic>
            </a:graphicData>
          </a:graphic>
        </wp:anchor>
      </w:drawing>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header" Target="header1.xml"/><Relationship Id="rId12" Type="http://schemas.openxmlformats.org/officeDocument/2006/relationships/hyperlink" Target="mailto:Maya.Orlev@weizmann.ac.i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