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b w:val="1"/>
          <w:color w:val="c0504d"/>
          <w:sz w:val="28"/>
          <w:szCs w:val="28"/>
        </w:rPr>
      </w:pPr>
      <w:r w:rsidDel="00000000" w:rsidR="00000000" w:rsidRPr="00000000">
        <w:rPr>
          <w:b w:val="1"/>
          <w:color w:val="c0504d"/>
          <w:sz w:val="28"/>
          <w:szCs w:val="28"/>
          <w:rtl w:val="0"/>
        </w:rPr>
        <w:t xml:space="preserve">A Novel Method for Increasing Protein and Peptide Based Drugs Half-Life:</w:t>
      </w:r>
    </w:p>
    <w:p w:rsidR="00000000" w:rsidDel="00000000" w:rsidP="00000000" w:rsidRDefault="00000000" w:rsidRPr="00000000" w14:paraId="00000002">
      <w:pPr>
        <w:spacing w:after="0" w:lineRule="auto"/>
        <w:jc w:val="both"/>
        <w:rPr>
          <w:b w:val="1"/>
          <w:sz w:val="36"/>
          <w:szCs w:val="36"/>
          <w:u w:val="single"/>
        </w:rPr>
      </w:pPr>
      <w:r w:rsidDel="00000000" w:rsidR="00000000" w:rsidRPr="00000000">
        <w:rPr>
          <w:b w:val="1"/>
          <w:sz w:val="36"/>
          <w:szCs w:val="36"/>
          <w:u w:val="single"/>
          <w:rtl w:val="0"/>
        </w:rPr>
        <w:t xml:space="preserve">Engineered Prolonged-Acting Prodrugs via Albumin-Binding Probes</w:t>
      </w:r>
    </w:p>
    <w:tbl>
      <w:tblPr>
        <w:tblStyle w:val="Table1"/>
        <w:tblW w:w="5128.0" w:type="dxa"/>
        <w:jc w:val="left"/>
        <w:tblInd w:w="108.0" w:type="dxa"/>
        <w:tblBorders>
          <w:top w:color="8064a2" w:space="0" w:sz="8" w:val="single"/>
          <w:bottom w:color="8064a2" w:space="0" w:sz="8" w:val="single"/>
        </w:tblBorders>
        <w:tblLayout w:type="fixed"/>
        <w:tblLook w:val="0400"/>
      </w:tblPr>
      <w:tblGrid>
        <w:gridCol w:w="1996"/>
        <w:gridCol w:w="3132"/>
        <w:tblGridChange w:id="0">
          <w:tblGrid>
            <w:gridCol w:w="1996"/>
            <w:gridCol w:w="3132"/>
          </w:tblGrid>
        </w:tblGridChange>
      </w:tblGrid>
      <w:tr>
        <w:trPr>
          <w:trHeight w:val="200" w:hRule="atLeast"/>
        </w:trPr>
        <w:tc>
          <w:tcPr>
            <w:tcBorders>
              <w:top w:color="8064a2" w:space="0" w:sz="8" w:val="single"/>
              <w:left w:color="000000" w:space="0" w:sz="0" w:val="nil"/>
              <w:bottom w:color="000000" w:space="0" w:sz="0" w:val="nil"/>
              <w:right w:color="000000" w:space="0" w:sz="0" w:val="nil"/>
            </w:tcBorders>
            <w:shd w:fill="f5f2f8" w:val="clear"/>
          </w:tcPr>
          <w:p w:rsidR="00000000" w:rsidDel="00000000" w:rsidP="00000000" w:rsidRDefault="00000000" w:rsidRPr="00000000" w14:paraId="00000003">
            <w:pPr>
              <w:widowControl w:val="0"/>
              <w:spacing w:after="0" w:line="276" w:lineRule="auto"/>
              <w:ind w:right="-97"/>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Project Number: </w:t>
            </w:r>
          </w:p>
        </w:tc>
        <w:tc>
          <w:tcPr>
            <w:tcBorders>
              <w:top w:color="8064a2" w:space="0" w:sz="8" w:val="single"/>
              <w:left w:color="000000" w:space="0" w:sz="0" w:val="nil"/>
              <w:bottom w:color="000000" w:space="0" w:sz="0" w:val="nil"/>
              <w:right w:color="000000" w:space="0" w:sz="0" w:val="nil"/>
            </w:tcBorders>
            <w:shd w:fill="f5f2f8" w:val="clear"/>
          </w:tcPr>
          <w:p w:rsidR="00000000" w:rsidDel="00000000" w:rsidP="00000000" w:rsidRDefault="00000000" w:rsidRPr="00000000" w14:paraId="00000004">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#1555</w:t>
            </w:r>
          </w:p>
        </w:tc>
      </w:tr>
      <w:tr>
        <w:trPr>
          <w:trHeight w:val="440" w:hRule="atLeast"/>
        </w:trPr>
        <w:tc>
          <w:tcPr>
            <w:tcBorders>
              <w:top w:color="000000" w:space="0" w:sz="0" w:val="nil"/>
              <w:left w:color="000000" w:space="0" w:sz="0" w:val="nil"/>
              <w:bottom w:color="000000" w:space="0" w:sz="0" w:val="nil"/>
              <w:right w:color="000000" w:space="0" w:sz="0" w:val="nil"/>
            </w:tcBorders>
            <w:shd w:fill="dfd8e8" w:val="clear"/>
          </w:tcPr>
          <w:p w:rsidR="00000000" w:rsidDel="00000000" w:rsidP="00000000" w:rsidRDefault="00000000" w:rsidRPr="00000000" w14:paraId="00000005">
            <w:pPr>
              <w:widowControl w:val="0"/>
              <w:spacing w:after="0" w:line="276" w:lineRule="auto"/>
              <w:ind w:right="-97"/>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Principal Investigator: </w:t>
            </w:r>
          </w:p>
        </w:tc>
        <w:tc>
          <w:tcPr>
            <w:tcBorders>
              <w:top w:color="000000" w:space="0" w:sz="0" w:val="nil"/>
              <w:left w:color="000000" w:space="0" w:sz="0" w:val="nil"/>
              <w:bottom w:color="000000" w:space="0" w:sz="0" w:val="nil"/>
              <w:right w:color="000000" w:space="0" w:sz="0" w:val="nil"/>
            </w:tcBorders>
            <w:shd w:fill="dfd8e8" w:val="clear"/>
          </w:tcPr>
          <w:p w:rsidR="00000000" w:rsidDel="00000000" w:rsidP="00000000" w:rsidRDefault="00000000" w:rsidRPr="00000000" w14:paraId="00000006">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Prof. Yoram Shechter </w:t>
            </w:r>
          </w:p>
          <w:p w:rsidR="00000000" w:rsidDel="00000000" w:rsidP="00000000" w:rsidRDefault="00000000" w:rsidRPr="00000000" w14:paraId="00000007">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Prof. Matityahu Fridkin</w:t>
            </w:r>
          </w:p>
        </w:tc>
      </w:tr>
      <w:tr>
        <w:trPr>
          <w:trHeight w:val="140" w:hRule="atLeast"/>
        </w:trPr>
        <w:tc>
          <w:tcPr>
            <w:tcBorders>
              <w:top w:color="000000" w:space="0" w:sz="0" w:val="nil"/>
              <w:bottom w:color="8064a2" w:space="0" w:sz="8" w:val="single"/>
            </w:tcBorders>
            <w:shd w:fill="f5f2f8" w:val="clear"/>
          </w:tcPr>
          <w:p w:rsidR="00000000" w:rsidDel="00000000" w:rsidP="00000000" w:rsidRDefault="00000000" w:rsidRPr="00000000" w14:paraId="00000008">
            <w:pPr>
              <w:widowControl w:val="0"/>
              <w:spacing w:after="0" w:line="276" w:lineRule="auto"/>
              <w:ind w:right="-97"/>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Patent Status: </w:t>
            </w:r>
          </w:p>
        </w:tc>
        <w:tc>
          <w:tcPr>
            <w:tcBorders>
              <w:top w:color="000000" w:space="0" w:sz="0" w:val="nil"/>
              <w:bottom w:color="8064a2" w:space="0" w:sz="8" w:val="single"/>
            </w:tcBorders>
            <w:shd w:fill="f5f2f8" w:val="clear"/>
          </w:tcPr>
          <w:p w:rsidR="00000000" w:rsidDel="00000000" w:rsidP="00000000" w:rsidRDefault="00000000" w:rsidRPr="00000000" w14:paraId="00000009">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Pending</w:t>
            </w:r>
          </w:p>
        </w:tc>
      </w:tr>
    </w:tbl>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240" w:lineRule="auto"/>
        <w:jc w:val="both"/>
        <w:rPr>
          <w:b w:val="1"/>
          <w:color w:val="4f81bd"/>
          <w:sz w:val="24"/>
          <w:szCs w:val="24"/>
          <w:u w:val="single"/>
        </w:rPr>
      </w:pPr>
      <w:r w:rsidDel="00000000" w:rsidR="00000000" w:rsidRPr="00000000">
        <w:rPr>
          <w:b w:val="1"/>
          <w:color w:val="4f81bd"/>
          <w:sz w:val="28"/>
          <w:szCs w:val="28"/>
          <w:u w:val="single"/>
          <w:rtl w:val="0"/>
        </w:rPr>
        <w:t xml:space="preserve">Overview</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120" w:line="276" w:lineRule="auto"/>
        <w:jc w:val="both"/>
        <w:rPr>
          <w:b w:val="1"/>
          <w:sz w:val="24"/>
          <w:szCs w:val="24"/>
        </w:rPr>
      </w:pPr>
      <w:r w:rsidDel="00000000" w:rsidR="00000000" w:rsidRPr="00000000">
        <w:rPr>
          <w:b w:val="1"/>
          <w:sz w:val="24"/>
          <w:szCs w:val="24"/>
          <w:rtl w:val="0"/>
        </w:rPr>
        <w:t xml:space="preserve">A novel method for increasing the half-life of protein and peptide therapeutics.</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0" w:line="240" w:lineRule="auto"/>
        <w:jc w:val="both"/>
        <w:rPr>
          <w:b w:val="1"/>
          <w:color w:val="4f81bd"/>
          <w:sz w:val="28"/>
          <w:szCs w:val="28"/>
          <w:u w:val="single"/>
        </w:rPr>
      </w:pPr>
      <w:r w:rsidDel="00000000" w:rsidR="00000000" w:rsidRPr="00000000">
        <w:rPr>
          <w:b w:val="1"/>
          <w:color w:val="4f81bd"/>
          <w:sz w:val="28"/>
          <w:szCs w:val="28"/>
          <w:u w:val="single"/>
          <w:rtl w:val="0"/>
        </w:rPr>
        <w:t xml:space="preserve">Background and Unmet Need:</w:t>
      </w:r>
    </w:p>
    <w:p w:rsidR="00000000" w:rsidDel="00000000" w:rsidP="00000000" w:rsidRDefault="00000000" w:rsidRPr="00000000" w14:paraId="0000000D">
      <w:pPr>
        <w:spacing w:after="0" w:line="240" w:lineRule="auto"/>
        <w:jc w:val="both"/>
        <w:rPr/>
      </w:pPr>
      <w:r w:rsidDel="00000000" w:rsidR="00000000" w:rsidRPr="00000000">
        <w:rPr>
          <w:sz w:val="24"/>
          <w:szCs w:val="24"/>
          <w:rtl w:val="0"/>
        </w:rPr>
        <w:t xml:space="preserve">Therapeutics based on proteins and peptides are an important class of medicines. Recently, approved recombinant protein therapeutics have been developed to treat a wide variety of clinical indications. However, most protein and peptide based drugs, in particular those lacking specific chemical modifications (e.g. glycosylation) and under a specific size (molecular mass &lt; 50 kDa), are short-lived when introduced to the bloodstream. </w:t>
      </w:r>
      <w:r w:rsidDel="00000000" w:rsidR="00000000" w:rsidRPr="00000000">
        <w:rPr>
          <w:b w:val="1"/>
          <w:sz w:val="24"/>
          <w:szCs w:val="24"/>
          <w:rtl w:val="0"/>
        </w:rPr>
        <w:t xml:space="preserve">Therefore, there is a clear need for a method to extend the half-life of protein and peptide based therapeutics that minimally interferes with its pharmacological activity.</w:t>
      </w:r>
      <w:r w:rsidDel="00000000" w:rsidR="00000000" w:rsidRPr="00000000">
        <w:rPr>
          <w:rtl w:val="0"/>
        </w:rPr>
      </w:r>
    </w:p>
    <w:p w:rsidR="00000000" w:rsidDel="00000000" w:rsidP="00000000" w:rsidRDefault="00000000" w:rsidRPr="00000000" w14:paraId="0000000E">
      <w:pPr>
        <w:spacing w:after="0" w:line="240" w:lineRule="auto"/>
        <w:jc w:val="both"/>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line="240" w:lineRule="auto"/>
        <w:jc w:val="both"/>
        <w:rPr>
          <w:rFonts w:ascii="Verdana" w:cs="Verdana" w:eastAsia="Verdana" w:hAnsi="Verdana"/>
          <w:color w:val="00000a"/>
          <w:sz w:val="16"/>
          <w:szCs w:val="16"/>
        </w:rPr>
      </w:pPr>
      <w:r w:rsidDel="00000000" w:rsidR="00000000" w:rsidRPr="00000000">
        <w:rPr>
          <w:b w:val="1"/>
          <w:color w:val="4f81bd"/>
          <w:sz w:val="28"/>
          <w:szCs w:val="28"/>
          <w:u w:val="single"/>
          <w:rtl w:val="0"/>
        </w:rPr>
        <w:t xml:space="preserve">The Innovation</w:t>
      </w:r>
      <w:r w:rsidDel="00000000" w:rsidR="00000000" w:rsidRPr="00000000">
        <w:rPr>
          <w:rtl w:val="0"/>
        </w:rPr>
      </w:r>
    </w:p>
    <w:p w:rsidR="00000000" w:rsidDel="00000000" w:rsidP="00000000" w:rsidRDefault="00000000" w:rsidRPr="00000000" w14:paraId="00000010">
      <w:pPr>
        <w:spacing w:after="0" w:line="240" w:lineRule="auto"/>
        <w:jc w:val="both"/>
        <w:rPr>
          <w:shd w:fill="auto" w:val="clear"/>
          <w:rPrChange w:author="Jacob Orry Fierer" w:id="0" w:date="2019-02-07T08:32:56Z">
            <w:rPr>
              <w:sz w:val="24"/>
              <w:szCs w:val="24"/>
            </w:rPr>
          </w:rPrChange>
        </w:rPr>
        <w:pPrChange w:author="Jacob Orry Fierer" w:id="0" w:date="2019-02-07T08:32:56Z">
          <w:pPr>
            <w:spacing w:after="0" w:line="240" w:lineRule="auto"/>
            <w:jc w:val="both"/>
          </w:pPr>
        </w:pPrChange>
      </w:pPr>
      <w:r w:rsidDel="00000000" w:rsidR="00000000" w:rsidRPr="00000000">
        <w:rPr>
          <w:sz w:val="24"/>
          <w:szCs w:val="24"/>
          <w:rtl w:val="0"/>
        </w:rPr>
        <w:t xml:space="preserve">The groups of Profs. Shechter and Fridkin have designed a set of probes that could potentially extend the half-life of</w:t>
      </w:r>
      <w:r w:rsidDel="00000000" w:rsidR="00000000" w:rsidRPr="00000000">
        <w:rPr>
          <w:sz w:val="24"/>
          <w:szCs w:val="24"/>
          <w:rtl w:val="0"/>
        </w:rPr>
        <w:t xml:space="preserve"> </w:t>
      </w:r>
      <w:r w:rsidDel="00000000" w:rsidR="00000000" w:rsidRPr="00000000">
        <w:rPr>
          <w:sz w:val="24"/>
          <w:szCs w:val="24"/>
          <w:rtl w:val="0"/>
        </w:rPr>
        <w:t xml:space="preserve">short-lived </w:t>
      </w:r>
      <w:r w:rsidDel="00000000" w:rsidR="00000000" w:rsidRPr="00000000">
        <w:rPr>
          <w:sz w:val="24"/>
          <w:szCs w:val="24"/>
          <w:rtl w:val="0"/>
        </w:rPr>
        <w:t xml:space="preserve">drugs containing either an amino or mercapto group. </w:t>
      </w:r>
    </w:p>
    <w:p w:rsidR="00000000" w:rsidDel="00000000" w:rsidP="00000000" w:rsidRDefault="00000000" w:rsidRPr="00000000" w14:paraId="00000011">
      <w:pPr>
        <w:spacing w:after="0" w:line="240" w:lineRule="auto"/>
        <w:jc w:val="both"/>
        <w:rPr/>
      </w:pPr>
      <w:r w:rsidDel="00000000" w:rsidR="00000000" w:rsidRPr="00000000">
        <w:rPr>
          <w:rtl w:val="0"/>
        </w:rPr>
      </w:r>
    </w:p>
    <w:p w:rsidR="00000000" w:rsidDel="00000000" w:rsidP="00000000" w:rsidRDefault="00000000" w:rsidRPr="00000000" w14:paraId="00000012">
      <w:pPr>
        <w:widowControl w:val="0"/>
        <w:spacing w:after="0" w:line="240" w:lineRule="auto"/>
        <w:jc w:val="both"/>
        <w:rPr>
          <w:b w:val="1"/>
          <w:color w:val="4f81bd"/>
          <w:sz w:val="28"/>
          <w:szCs w:val="28"/>
          <w:u w:val="single"/>
        </w:rPr>
      </w:pPr>
      <w:r w:rsidDel="00000000" w:rsidR="00000000" w:rsidRPr="00000000">
        <w:rPr>
          <w:b w:val="1"/>
          <w:color w:val="4f81bd"/>
          <w:sz w:val="28"/>
          <w:szCs w:val="28"/>
          <w:u w:val="single"/>
          <w:rtl w:val="0"/>
        </w:rPr>
        <w:t xml:space="preserve">The Technology</w:t>
      </w:r>
    </w:p>
    <w:p w:rsidR="00000000" w:rsidDel="00000000" w:rsidP="00000000" w:rsidRDefault="00000000" w:rsidRPr="00000000" w14:paraId="00000013">
      <w:pPr>
        <w:widowControl w:val="0"/>
        <w:spacing w:after="0" w:line="240" w:lineRule="auto"/>
        <w:jc w:val="both"/>
        <w:rPr>
          <w:shd w:fill="auto" w:val="clear"/>
          <w:rPrChange w:author="Jacob Orry Fierer" w:id="1" w:date="2019-02-07T08:32:56Z">
            <w:rPr>
              <w:sz w:val="24"/>
              <w:szCs w:val="24"/>
            </w:rPr>
          </w:rPrChange>
        </w:rPr>
        <w:pPrChange w:author="Jacob Orry Fierer" w:id="0" w:date="2019-02-07T08:32:56Z">
          <w:pPr>
            <w:widowControl w:val="0"/>
            <w:spacing w:after="0" w:line="240" w:lineRule="auto"/>
            <w:jc w:val="both"/>
          </w:pPr>
        </w:pPrChange>
      </w:pPr>
      <w:bookmarkStart w:colFirst="0" w:colLast="0" w:name="_gjdgxs" w:id="0"/>
      <w:bookmarkEnd w:id="0"/>
      <w:r w:rsidDel="00000000" w:rsidR="00000000" w:rsidRPr="00000000">
        <w:rPr>
          <w:sz w:val="24"/>
          <w:szCs w:val="24"/>
          <w:rtl w:val="0"/>
        </w:rPr>
        <w:t xml:space="preserve">The joint teams of Profs. Shechter and </w:t>
      </w:r>
      <w:r w:rsidDel="00000000" w:rsidR="00000000" w:rsidRPr="00000000">
        <w:rPr>
          <w:rFonts w:ascii="Tahoma" w:cs="Tahoma" w:eastAsia="Tahoma" w:hAnsi="Tahoma"/>
          <w:sz w:val="20"/>
          <w:szCs w:val="20"/>
          <w:rtl w:val="0"/>
        </w:rPr>
        <w:t xml:space="preserve">Fridkin</w:t>
      </w:r>
      <w:r w:rsidDel="00000000" w:rsidR="00000000" w:rsidRPr="00000000">
        <w:rPr>
          <w:sz w:val="24"/>
          <w:szCs w:val="24"/>
          <w:rtl w:val="0"/>
        </w:rPr>
        <w:t xml:space="preserve"> have developed a set of novel probes capable of binding human serum albumin (HSA) with </w:t>
      </w:r>
      <w:r w:rsidDel="00000000" w:rsidR="00000000" w:rsidRPr="00000000">
        <w:rPr>
          <w:sz w:val="24"/>
          <w:szCs w:val="24"/>
          <w:rtl w:val="0"/>
        </w:rPr>
        <w:t xml:space="preserve">high affinity</w:t>
      </w:r>
      <w:r w:rsidDel="00000000" w:rsidR="00000000" w:rsidRPr="00000000">
        <w:rPr>
          <w:sz w:val="24"/>
          <w:szCs w:val="24"/>
          <w:rtl w:val="0"/>
        </w:rPr>
        <w:t xml:space="preserve">, sufficient to turn short-lived molecules into long-lived species </w:t>
      </w:r>
      <w:r w:rsidDel="00000000" w:rsidR="00000000" w:rsidRPr="00000000">
        <w:rPr>
          <w:i w:val="1"/>
          <w:sz w:val="24"/>
          <w:szCs w:val="24"/>
          <w:rtl w:val="0"/>
        </w:rPr>
        <w:t xml:space="preserve">in vivo</w:t>
      </w:r>
      <w:r w:rsidDel="00000000" w:rsidR="00000000" w:rsidRPr="00000000">
        <w:rPr>
          <w:sz w:val="24"/>
          <w:szCs w:val="24"/>
          <w:rtl w:val="0"/>
        </w:rPr>
        <w:t xml:space="preserve">. The probes are comprised of long-chain fatty acids (LCFA)-like sulfonated derivatives and are capable of selectively reacting with a drug containing an amino and/or mercapto group (e.g. protein or peptides containing a free lysine or cysteine residue). Thanks to the flexibility in terms of ligation sites on the target drug, drug-probe conjugates can be generated that are not likely to interfere with the pharmacological activity of the target drug. Testing done at Profs. Shechter’s and </w:t>
      </w:r>
      <w:r w:rsidDel="00000000" w:rsidR="00000000" w:rsidRPr="00000000">
        <w:rPr>
          <w:sz w:val="24"/>
          <w:szCs w:val="24"/>
          <w:rtl w:val="0"/>
        </w:rPr>
        <w:t xml:space="preserve">Fridkin’s</w:t>
      </w:r>
      <w:r w:rsidDel="00000000" w:rsidR="00000000" w:rsidRPr="00000000">
        <w:rPr>
          <w:sz w:val="24"/>
          <w:szCs w:val="24"/>
          <w:rtl w:val="0"/>
        </w:rPr>
        <w:t xml:space="preserve"> labs demonstrated that all conjugates prepared using these probes exhibited considerably extended </w:t>
      </w:r>
      <w:r w:rsidDel="00000000" w:rsidR="00000000" w:rsidRPr="00000000">
        <w:rPr>
          <w:i w:val="1"/>
          <w:sz w:val="24"/>
          <w:szCs w:val="24"/>
          <w:rtl w:val="0"/>
        </w:rPr>
        <w:t xml:space="preserve">in vivo</w:t>
      </w:r>
      <w:r w:rsidDel="00000000" w:rsidR="00000000" w:rsidRPr="00000000">
        <w:rPr>
          <w:sz w:val="24"/>
          <w:szCs w:val="24"/>
          <w:rtl w:val="0"/>
        </w:rPr>
        <w:t xml:space="preserve"> half-lives compared to non-conjugated drugs, and were pharmacologically active.</w:t>
      </w:r>
    </w:p>
    <w:p w:rsidR="00000000" w:rsidDel="00000000" w:rsidP="00000000" w:rsidRDefault="00000000" w:rsidRPr="00000000" w14:paraId="00000014">
      <w:pPr>
        <w:widowControl w:val="0"/>
        <w:spacing w:after="0" w:line="240" w:lineRule="auto"/>
        <w:jc w:val="both"/>
        <w:rPr>
          <w:sz w:val="24"/>
          <w:szCs w:val="24"/>
        </w:rPr>
      </w:pPr>
      <w:r w:rsidDel="00000000" w:rsidR="00000000" w:rsidRPr="00000000">
        <w:rPr>
          <w:rtl w:val="0"/>
        </w:rPr>
      </w:r>
    </w:p>
    <w:p w:rsidR="00000000" w:rsidDel="00000000" w:rsidP="00000000" w:rsidRDefault="00000000" w:rsidRPr="00000000" w14:paraId="00000015">
      <w:pPr>
        <w:widowControl w:val="0"/>
        <w:spacing w:after="0" w:line="276" w:lineRule="auto"/>
        <w:jc w:val="both"/>
        <w:rPr>
          <w:b w:val="1"/>
          <w:color w:val="c00000"/>
          <w:sz w:val="24"/>
          <w:szCs w:val="24"/>
        </w:rPr>
      </w:pPr>
      <w:r w:rsidDel="00000000" w:rsidR="00000000" w:rsidRPr="00000000">
        <w:rPr>
          <w:rtl w:val="0"/>
        </w:rPr>
      </w:r>
    </w:p>
    <w:p w:rsidR="00000000" w:rsidDel="00000000" w:rsidP="00000000" w:rsidRDefault="00000000" w:rsidRPr="00000000" w14:paraId="00000016">
      <w:pPr>
        <w:widowControl w:val="0"/>
        <w:spacing w:after="0" w:line="276" w:lineRule="auto"/>
        <w:jc w:val="both"/>
        <w:rPr>
          <w:b w:val="1"/>
          <w:i w:val="1"/>
          <w:color w:val="c00000"/>
          <w:sz w:val="24"/>
          <w:szCs w:val="24"/>
        </w:rPr>
      </w:pPr>
      <w:r w:rsidDel="00000000" w:rsidR="00000000" w:rsidRPr="00000000">
        <w:rPr>
          <w:rtl w:val="0"/>
        </w:rPr>
      </w:r>
    </w:p>
    <w:p w:rsidR="00000000" w:rsidDel="00000000" w:rsidP="00000000" w:rsidRDefault="00000000" w:rsidRPr="00000000" w14:paraId="00000017">
      <w:pPr>
        <w:widowControl w:val="0"/>
        <w:spacing w:after="0" w:line="276" w:lineRule="auto"/>
        <w:jc w:val="both"/>
        <w:rPr>
          <w:b w:val="1"/>
          <w:i w:val="1"/>
          <w:color w:val="c00000"/>
          <w:sz w:val="24"/>
          <w:szCs w:val="24"/>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b w:val="1"/>
          <w:i w:val="1"/>
          <w:color w:val="c00000"/>
          <w:sz w:val="24"/>
          <w:szCs w:val="24"/>
          <w:rtl w:val="0"/>
        </w:rPr>
        <w:t xml:space="preserve">Advantages and Applications</w:t>
      </w:r>
      <w:r w:rsidDel="00000000" w:rsidR="00000000" w:rsidRPr="00000000">
        <w:rPr>
          <w:rtl w:val="0"/>
        </w:rPr>
      </w:r>
    </w:p>
    <w:p w:rsidR="00000000" w:rsidDel="00000000" w:rsidP="00000000" w:rsidRDefault="00000000" w:rsidRPr="00000000" w14:paraId="00000019">
      <w:pPr>
        <w:widowControl w:val="0"/>
        <w:numPr>
          <w:ilvl w:val="0"/>
          <w:numId w:val="1"/>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sz w:val="24"/>
          <w:szCs w:val="24"/>
          <w:rtl w:val="0"/>
        </w:rPr>
        <w:t xml:space="preserve">Up to a 6-fold increase in peptide/protein drug residence time in the blood.</w:t>
      </w:r>
      <w:r w:rsidDel="00000000" w:rsidR="00000000" w:rsidRPr="00000000">
        <w:rPr>
          <w:rtl w:val="0"/>
        </w:rPr>
      </w:r>
    </w:p>
    <w:p w:rsidR="00000000" w:rsidDel="00000000" w:rsidP="00000000" w:rsidRDefault="00000000" w:rsidRPr="00000000" w14:paraId="0000001A">
      <w:pPr>
        <w:widowControl w:val="0"/>
        <w:numPr>
          <w:ilvl w:val="0"/>
          <w:numId w:val="1"/>
        </w:numPr>
        <w:pBdr>
          <w:top w:space="0" w:sz="0" w:val="nil"/>
          <w:left w:space="0" w:sz="0" w:val="nil"/>
          <w:bottom w:space="0" w:sz="0" w:val="nil"/>
          <w:right w:space="0" w:sz="0" w:val="nil"/>
          <w:between w:space="0" w:sz="0" w:val="nil"/>
        </w:pBdr>
        <w:spacing w:after="0" w:line="276" w:lineRule="auto"/>
        <w:ind w:left="720" w:hanging="360"/>
        <w:jc w:val="both"/>
        <w:rPr>
          <w:sz w:val="24"/>
          <w:szCs w:val="24"/>
        </w:rPr>
      </w:pPr>
      <w:r w:rsidDel="00000000" w:rsidR="00000000" w:rsidRPr="00000000">
        <w:rPr>
          <w:sz w:val="24"/>
          <w:szCs w:val="24"/>
          <w:rtl w:val="0"/>
        </w:rPr>
        <w:t xml:space="preserve">Generally does not interfere with target drugs pharmacological activity.</w:t>
      </w:r>
    </w:p>
    <w:p w:rsidR="00000000" w:rsidDel="00000000" w:rsidP="00000000" w:rsidRDefault="00000000" w:rsidRPr="00000000" w14:paraId="0000001B">
      <w:pPr>
        <w:widowControl w:val="0"/>
        <w:numPr>
          <w:ilvl w:val="0"/>
          <w:numId w:val="1"/>
        </w:numPr>
        <w:pBdr>
          <w:top w:space="0" w:sz="0" w:val="nil"/>
          <w:left w:space="0" w:sz="0" w:val="nil"/>
          <w:bottom w:space="0" w:sz="0" w:val="nil"/>
          <w:right w:space="0" w:sz="0" w:val="nil"/>
          <w:between w:space="0" w:sz="0" w:val="nil"/>
        </w:pBdr>
        <w:spacing w:after="0" w:line="276" w:lineRule="auto"/>
        <w:ind w:left="720" w:hanging="360"/>
        <w:jc w:val="both"/>
        <w:rPr/>
      </w:pPr>
      <w:r w:rsidDel="00000000" w:rsidR="00000000" w:rsidRPr="00000000">
        <w:rPr>
          <w:sz w:val="24"/>
          <w:szCs w:val="24"/>
          <w:rtl w:val="0"/>
        </w:rPr>
        <w:t xml:space="preserve">Has potential application in extending the life-time of amine and/or cysteine containing  molecule such as proteins, peptides, amino acids and other drugs containing amine and/or mercapto groups.</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Rule="auto"/>
        <w:jc w:val="both"/>
        <w:rPr>
          <w:sz w:val="24"/>
          <w:szCs w:val="24"/>
        </w:rPr>
      </w:pPr>
      <w:r w:rsidDel="00000000" w:rsidR="00000000" w:rsidRPr="00000000">
        <w:rPr>
          <w:rtl w:val="0"/>
        </w:rPr>
      </w:r>
    </w:p>
    <w:p w:rsidR="00000000" w:rsidDel="00000000" w:rsidP="00000000" w:rsidRDefault="00000000" w:rsidRPr="00000000" w14:paraId="0000001D">
      <w:pPr>
        <w:spacing w:after="120" w:lineRule="auto"/>
        <w:jc w:val="both"/>
        <w:rPr>
          <w:b w:val="1"/>
          <w:color w:val="4f81bd"/>
          <w:sz w:val="28"/>
          <w:szCs w:val="28"/>
          <w:u w:val="single"/>
        </w:rPr>
      </w:pPr>
      <w:r w:rsidDel="00000000" w:rsidR="00000000" w:rsidRPr="00000000">
        <w:rPr>
          <w:b w:val="1"/>
          <w:color w:val="4f81bd"/>
          <w:sz w:val="28"/>
          <w:szCs w:val="28"/>
          <w:u w:val="single"/>
          <w:rtl w:val="0"/>
        </w:rPr>
        <w:t xml:space="preserve">Development Status</w:t>
      </w:r>
    </w:p>
    <w:p w:rsidR="00000000" w:rsidDel="00000000" w:rsidP="00000000" w:rsidRDefault="00000000" w:rsidRPr="00000000" w14:paraId="0000001E">
      <w:pPr>
        <w:spacing w:after="0" w:lineRule="auto"/>
        <w:jc w:val="both"/>
        <w:rPr>
          <w:sz w:val="24"/>
          <w:szCs w:val="24"/>
        </w:rPr>
      </w:pPr>
      <w:bookmarkStart w:colFirst="0" w:colLast="0" w:name="_30j0zll" w:id="1"/>
      <w:bookmarkEnd w:id="1"/>
      <w:r w:rsidDel="00000000" w:rsidR="00000000" w:rsidRPr="00000000">
        <w:rPr>
          <w:sz w:val="24"/>
          <w:szCs w:val="24"/>
          <w:rtl w:val="0"/>
        </w:rPr>
        <w:t xml:space="preserve">Drug conjugates such as insulin and Exendin-4, have been prepared and tested. The joint team performed numerous </w:t>
      </w:r>
      <w:r w:rsidDel="00000000" w:rsidR="00000000" w:rsidRPr="00000000">
        <w:rPr>
          <w:i w:val="1"/>
          <w:sz w:val="24"/>
          <w:szCs w:val="24"/>
          <w:rtl w:val="0"/>
        </w:rPr>
        <w:t xml:space="preserve">in vitro</w:t>
      </w:r>
      <w:r w:rsidDel="00000000" w:rsidR="00000000" w:rsidRPr="00000000">
        <w:rPr>
          <w:sz w:val="24"/>
          <w:szCs w:val="24"/>
          <w:rtl w:val="0"/>
        </w:rPr>
        <w:t xml:space="preserve"> work to characterize the biophysical aspects of the probe ligated target protein and their capacity to bind with albumin. Additional animal model work in mice was performed to show that the conjugated-proteins exhibited extended </w:t>
      </w:r>
      <w:r w:rsidDel="00000000" w:rsidR="00000000" w:rsidRPr="00000000">
        <w:rPr>
          <w:i w:val="1"/>
          <w:sz w:val="24"/>
          <w:szCs w:val="24"/>
          <w:rtl w:val="0"/>
        </w:rPr>
        <w:t xml:space="preserve">in-vivo</w:t>
      </w:r>
      <w:r w:rsidDel="00000000" w:rsidR="00000000" w:rsidRPr="00000000">
        <w:rPr>
          <w:sz w:val="24"/>
          <w:szCs w:val="24"/>
          <w:rtl w:val="0"/>
        </w:rPr>
        <w:t xml:space="preserve"> half-lives compared to the native proteins without negatively affecting their pharmacological activity. </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b w:val="1"/>
          <w:color w:val="4f81bd"/>
          <w:sz w:val="28"/>
          <w:szCs w:val="28"/>
          <w:u w:val="single"/>
        </w:rPr>
      </w:pPr>
      <w:bookmarkStart w:colFirst="0" w:colLast="0" w:name="_1fob9te" w:id="2"/>
      <w:bookmarkEnd w:id="2"/>
      <w:r w:rsidDel="00000000" w:rsidR="00000000" w:rsidRPr="00000000">
        <w:rPr>
          <w:b w:val="1"/>
          <w:color w:val="4f81bd"/>
          <w:sz w:val="28"/>
          <w:szCs w:val="28"/>
          <w:u w:val="single"/>
          <w:rtl w:val="0"/>
        </w:rPr>
        <w:t xml:space="preserve">For additional information please contact:</w:t>
      </w:r>
    </w:p>
    <w:p w:rsidR="00000000" w:rsidDel="00000000" w:rsidP="00000000" w:rsidRDefault="00000000" w:rsidRPr="00000000" w14:paraId="00000022">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Orly Savion, PhD.</w:t>
      </w:r>
    </w:p>
    <w:p w:rsidR="00000000" w:rsidDel="00000000" w:rsidP="00000000" w:rsidRDefault="00000000" w:rsidRPr="00000000" w14:paraId="00000023">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Director of Business Development</w:t>
      </w:r>
    </w:p>
    <w:p w:rsidR="00000000" w:rsidDel="00000000" w:rsidP="00000000" w:rsidRDefault="00000000" w:rsidRPr="00000000" w14:paraId="00000024">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Tel: +972.8.9344374</w:t>
      </w:r>
    </w:p>
    <w:p w:rsidR="00000000" w:rsidDel="00000000" w:rsidP="00000000" w:rsidRDefault="00000000" w:rsidRPr="00000000" w14:paraId="00000025">
      <w:pPr>
        <w:widowControl w:val="0"/>
        <w:spacing w:after="0" w:line="276" w:lineRule="auto"/>
        <w:ind w:right="-97"/>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Email: </w:t>
      </w:r>
      <w:r w:rsidDel="00000000" w:rsidR="00000000" w:rsidRPr="00000000">
        <w:rPr>
          <w:sz w:val="24"/>
          <w:szCs w:val="24"/>
          <w:rtl w:val="0"/>
        </w:rPr>
        <w:t xml:space="preserve">Orly.Savion@weizmann.ac.il</w:t>
      </w:r>
      <w:r w:rsidDel="00000000" w:rsidR="00000000" w:rsidRPr="00000000">
        <w:rPr>
          <w:rtl w:val="0"/>
        </w:rPr>
      </w:r>
    </w:p>
    <w:sectPr>
      <w:headerReference r:id="rId6" w:type="default"/>
      <w:footerReference r:id="rId7" w:type="default"/>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pos="4896"/>
        <w:tab w:val="left" w:pos="5040"/>
        <w:tab w:val="left" w:pos="5760"/>
        <w:tab w:val="left" w:pos="6480"/>
        <w:tab w:val="left" w:pos="7200"/>
        <w:tab w:val="left" w:pos="7920"/>
        <w:tab w:val="left" w:pos="8640"/>
        <w:tab w:val="left" w:pos="9360"/>
      </w:tabs>
      <w:spacing w:after="0" w:line="240" w:lineRule="auto"/>
      <w:ind w:right="-766"/>
      <w:jc w:val="right"/>
      <w:rPr>
        <w:b w:val="1"/>
        <w:i w:val="1"/>
        <w:color w:val="7f7f7f"/>
        <w:sz w:val="20"/>
        <w:szCs w:val="20"/>
      </w:rPr>
    </w:pPr>
    <w:r w:rsidDel="00000000" w:rsidR="00000000" w:rsidRPr="00000000">
      <w:rPr>
        <w:b w:val="1"/>
        <w:i w:val="1"/>
        <w:color w:val="7f7f7f"/>
        <w:sz w:val="18"/>
        <w:szCs w:val="18"/>
        <w:rtl w:val="0"/>
      </w:rPr>
      <w:t xml:space="preserve"> </w:t>
      <w:tab/>
      <w:tab/>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pos="4320"/>
        <w:tab w:val="right" w:pos="864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pos="4320"/>
        <w:tab w:val="right" w:pos="8640"/>
      </w:tabs>
      <w:spacing w:after="0" w:line="240" w:lineRule="auto"/>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13334</wp:posOffset>
          </wp:positionH>
          <wp:positionV relativeFrom="paragraph">
            <wp:posOffset>20320</wp:posOffset>
          </wp:positionV>
          <wp:extent cx="4587240" cy="764540"/>
          <wp:effectExtent b="0" l="0" r="0" t="0"/>
          <wp:wrapSquare wrapText="bothSides" distB="0" distT="0" distL="0" distR="0"/>
          <wp:docPr descr="letter1c" id="1" name="image1.jpg"/>
          <a:graphic>
            <a:graphicData uri="http://schemas.openxmlformats.org/drawingml/2006/picture">
              <pic:pic>
                <pic:nvPicPr>
                  <pic:cNvPr descr="letter1c" id="0" name="image1.jpg"/>
                  <pic:cNvPicPr preferRelativeResize="0"/>
                </pic:nvPicPr>
                <pic:blipFill>
                  <a:blip r:embed="rId1"/>
                  <a:srcRect b="0" l="0" r="0" t="0"/>
                  <a:stretch>
                    <a:fillRect/>
                  </a:stretch>
                </pic:blipFill>
                <pic:spPr>
                  <a:xfrm>
                    <a:off x="0" y="0"/>
                    <a:ext cx="4587240" cy="764540"/>
                  </a:xfrm>
                  <a:prstGeom prst="rect"/>
                  <a:ln/>
                </pic:spPr>
              </pic:pic>
            </a:graphicData>
          </a:graphic>
        </wp:anchor>
      </w:drawing>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pos="4320"/>
        <w:tab w:val="right" w:pos="8640"/>
      </w:tabs>
      <w:spacing w:after="0" w:line="240" w:lineRule="auto"/>
      <w:rPr>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pos="4320"/>
        <w:tab w:val="right" w:pos="8640"/>
      </w:tabs>
      <w:spacing w:after="0" w:line="240" w:lineRule="auto"/>
      <w:rPr>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pos="4320"/>
        <w:tab w:val="right" w:pos="8640"/>
      </w:tabs>
      <w:spacing w:after="0" w:line="240" w:lineRule="auto"/>
      <w:rPr>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pos="4320"/>
        <w:tab w:val="right" w:pos="864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