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22"/>
        <w:tblGridChange w:id="0">
          <w:tblGrid>
            <w:gridCol w:w="8522"/>
          </w:tblGrid>
        </w:tblGridChange>
      </w:tblGrid>
      <w:tr>
        <w:tc>
          <w:tcPr>
            <w:tcBorders>
              <w:bottom w:color="000000" w:space="0" w:sz="0" w:val="nil"/>
            </w:tcBorders>
            <w:vAlign w:val="top"/>
          </w:tcPr>
          <w:p w:rsidR="00000000" w:rsidDel="00000000" w:rsidP="00000000" w:rsidRDefault="00000000" w:rsidRPr="00000000" w14:paraId="00000002">
            <w:pPr>
              <w:rPr>
                <w:vertAlign w:val="baseline"/>
              </w:rPr>
            </w:pPr>
            <w:r w:rsidDel="00000000" w:rsidR="00000000" w:rsidRPr="00000000">
              <w:rPr>
                <w:b w:val="1"/>
                <w:vertAlign w:val="baseline"/>
                <w:rtl w:val="0"/>
              </w:rPr>
              <w:t xml:space="preserve">Title:</w:t>
            </w:r>
            <w:r w:rsidDel="00000000" w:rsidR="00000000" w:rsidRPr="00000000">
              <w:rPr>
                <w:vertAlign w:val="baseline"/>
                <w:rtl w:val="0"/>
              </w:rPr>
              <w:t xml:space="preserve"> Prodrugs containing albumin binding probes</w:t>
            </w:r>
          </w:p>
        </w:tc>
      </w:tr>
      <w:tr>
        <w:tc>
          <w:tcPr>
            <w:tcBorders>
              <w:top w:color="000000" w:space="0" w:sz="0" w:val="nil"/>
            </w:tcBorders>
            <w:vAlign w:val="top"/>
          </w:tcPr>
          <w:p w:rsidR="00000000" w:rsidDel="00000000" w:rsidP="00000000" w:rsidRDefault="00000000" w:rsidRPr="00000000" w14:paraId="00000003">
            <w:pPr>
              <w:rPr>
                <w:vertAlign w:val="baseline"/>
              </w:rPr>
            </w:pPr>
            <w:r w:rsidDel="00000000" w:rsidR="00000000" w:rsidRPr="00000000">
              <w:rPr>
                <w:rtl w:val="0"/>
              </w:rPr>
            </w:r>
          </w:p>
        </w:tc>
      </w:tr>
      <w:tr>
        <w:tc>
          <w:tcPr>
            <w:tcBorders>
              <w:bottom w:color="000000" w:space="0" w:sz="0" w:val="nil"/>
            </w:tcBorders>
            <w:vAlign w:val="top"/>
          </w:tcPr>
          <w:p w:rsidR="00000000" w:rsidDel="00000000" w:rsidP="00000000" w:rsidRDefault="00000000" w:rsidRPr="00000000" w14:paraId="00000004">
            <w:pPr>
              <w:rPr>
                <w:vertAlign w:val="baseline"/>
              </w:rPr>
            </w:pPr>
            <w:r w:rsidDel="00000000" w:rsidR="00000000" w:rsidRPr="00000000">
              <w:rPr>
                <w:b w:val="1"/>
                <w:vertAlign w:val="baseline"/>
                <w:rtl w:val="0"/>
              </w:rPr>
              <w:t xml:space="preserve">Principal Investigator</w:t>
            </w:r>
            <w:r w:rsidDel="00000000" w:rsidR="00000000" w:rsidRPr="00000000">
              <w:rPr>
                <w:vertAlign w:val="baseline"/>
                <w:rtl w:val="0"/>
              </w:rPr>
              <w:t xml:space="preserve">: Prof. Matityahu Fridkin and Prof. Yoram Shechter</w:t>
            </w:r>
          </w:p>
        </w:tc>
      </w:tr>
      <w:tr>
        <w:tc>
          <w:tcPr>
            <w:tcBorders>
              <w:top w:color="000000" w:space="0" w:sz="0" w:val="nil"/>
            </w:tcBorders>
            <w:vAlign w:val="top"/>
          </w:tcPr>
          <w:p w:rsidR="00000000" w:rsidDel="00000000" w:rsidP="00000000" w:rsidRDefault="00000000" w:rsidRPr="00000000" w14:paraId="00000005">
            <w:pPr>
              <w:rPr>
                <w:vertAlign w:val="baseline"/>
              </w:rPr>
            </w:pPr>
            <w:r w:rsidDel="00000000" w:rsidR="00000000" w:rsidRPr="00000000">
              <w:rPr>
                <w:rtl w:val="0"/>
              </w:rPr>
            </w:r>
          </w:p>
        </w:tc>
      </w:tr>
      <w:tr>
        <w:tc>
          <w:tcPr>
            <w:tcBorders>
              <w:bottom w:color="000000" w:space="0" w:sz="0" w:val="nil"/>
            </w:tcBorders>
            <w:vAlign w:val="top"/>
          </w:tcPr>
          <w:p w:rsidR="00000000" w:rsidDel="00000000" w:rsidP="00000000" w:rsidRDefault="00000000" w:rsidRPr="00000000" w14:paraId="00000006">
            <w:pPr>
              <w:rPr>
                <w:b w:val="0"/>
                <w:vertAlign w:val="baseline"/>
              </w:rPr>
            </w:pPr>
            <w:r w:rsidDel="00000000" w:rsidR="00000000" w:rsidRPr="00000000">
              <w:rPr>
                <w:b w:val="1"/>
                <w:vertAlign w:val="baseline"/>
                <w:rtl w:val="0"/>
              </w:rPr>
              <w:t xml:space="preserve">Summary:</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vertAlign w:val="baseline"/>
                <w:rtl w:val="0"/>
              </w:rPr>
              <w:t xml:space="preserve">Albumin binding probe for extending the lifetime of drugs.</w:t>
            </w:r>
          </w:p>
          <w:p w:rsidR="00000000" w:rsidDel="00000000" w:rsidP="00000000" w:rsidRDefault="00000000" w:rsidRPr="00000000" w14:paraId="00000009">
            <w:pPr>
              <w:jc w:val="both"/>
              <w:rPr>
                <w:vertAlign w:val="baseline"/>
              </w:rPr>
            </w:pPr>
            <w:r w:rsidDel="00000000" w:rsidR="00000000" w:rsidRPr="00000000">
              <w:rPr>
                <w:vertAlign w:val="baseline"/>
                <w:rtl w:val="0"/>
              </w:rPr>
              <w:t xml:space="preserve">Most polypeptide drugs, in particular non-glycosylated proteins of molecular mass less than 50 kDa, are short-lived species </w:t>
            </w:r>
            <w:r w:rsidDel="00000000" w:rsidR="00000000" w:rsidRPr="00000000">
              <w:rPr>
                <w:i w:val="1"/>
                <w:vertAlign w:val="baseline"/>
                <w:rtl w:val="0"/>
              </w:rPr>
              <w:t xml:space="preserve">in vivo</w:t>
            </w:r>
            <w:r w:rsidDel="00000000" w:rsidR="00000000" w:rsidRPr="00000000">
              <w:rPr>
                <w:vertAlign w:val="baseline"/>
                <w:rtl w:val="0"/>
              </w:rPr>
              <w:t xml:space="preserve"> having circulatory half lives of 5-20 min. Drug association with endogenous albumin may be suitable for designing an approach to protract the action </w:t>
            </w:r>
            <w:r w:rsidDel="00000000" w:rsidR="00000000" w:rsidRPr="00000000">
              <w:rPr>
                <w:i w:val="1"/>
                <w:vertAlign w:val="baseline"/>
                <w:rtl w:val="0"/>
              </w:rPr>
              <w:t xml:space="preserve">in vivo</w:t>
            </w:r>
            <w:r w:rsidDel="00000000" w:rsidR="00000000" w:rsidRPr="00000000">
              <w:rPr>
                <w:vertAlign w:val="baseline"/>
                <w:rtl w:val="0"/>
              </w:rPr>
              <w:t xml:space="preserve"> of, potentially, any short-lived peptide/protein drug. In doing so two principal obstacles must be overcome: (1) following its conjugation, the probe introduced into a peptide or a protein should have sufficient affinity to albumin to manifest prolonged action </w:t>
            </w:r>
            <w:r w:rsidDel="00000000" w:rsidR="00000000" w:rsidRPr="00000000">
              <w:rPr>
                <w:i w:val="1"/>
                <w:vertAlign w:val="baseline"/>
                <w:rtl w:val="0"/>
              </w:rPr>
              <w:t xml:space="preserve">in vivo</w:t>
            </w:r>
            <w:r w:rsidDel="00000000" w:rsidR="00000000" w:rsidRPr="00000000">
              <w:rPr>
                <w:vertAlign w:val="baseline"/>
                <w:rtl w:val="0"/>
              </w:rPr>
              <w:t xml:space="preserve">, and (2) in case such covalent introduction results in an inactive product, the latter should be capable to undergo slow reactivation at physiological conditions. The present invention relates to engineering prolonged-acting prodrugs employing an albumin-binding probe that undergoes slow hydrolysis at physiological conditions.</w:t>
            </w:r>
          </w:p>
          <w:p w:rsidR="00000000" w:rsidDel="00000000" w:rsidP="00000000" w:rsidRDefault="00000000" w:rsidRPr="00000000" w14:paraId="0000000A">
            <w:pPr>
              <w:jc w:val="both"/>
              <w:rPr>
                <w:vertAlign w:val="baseline"/>
              </w:rPr>
            </w:pPr>
            <w:r w:rsidDel="00000000" w:rsidR="00000000" w:rsidRPr="00000000">
              <w:rPr>
                <w:rtl w:val="0"/>
              </w:rPr>
            </w:r>
          </w:p>
        </w:tc>
      </w:tr>
      <w:tr>
        <w:tc>
          <w:tcPr>
            <w:tcBorders>
              <w:bottom w:color="000000" w:space="0" w:sz="0" w:val="nil"/>
            </w:tcBorders>
            <w:vAlign w:val="top"/>
          </w:tcPr>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Applications:</w:t>
            </w:r>
            <w:r w:rsidDel="00000000" w:rsidR="00000000" w:rsidRPr="00000000">
              <w:rPr>
                <w:rtl w:val="0"/>
              </w:rPr>
            </w:r>
          </w:p>
        </w:tc>
      </w:tr>
      <w:tr>
        <w:trPr>
          <w:trHeight w:val="1760" w:hRule="atLeast"/>
        </w:trPr>
        <w:tc>
          <w:tcPr>
            <w:tcBorders>
              <w:top w:color="000000" w:space="0" w:sz="0" w:val="nil"/>
            </w:tcBorders>
            <w:vAlign w:val="top"/>
          </w:tcPr>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pPr>
            <w:r w:rsidDel="00000000" w:rsidR="00000000" w:rsidRPr="00000000">
              <w:rPr>
                <w:vertAlign w:val="baseline"/>
                <w:rtl w:val="0"/>
              </w:rPr>
              <w:t xml:space="preserve">Turning short-lived amino-containing drugs into inactive reactivable prodrugs having prolonged lifetime profiles </w:t>
            </w:r>
            <w:r w:rsidDel="00000000" w:rsidR="00000000" w:rsidRPr="00000000">
              <w:rPr>
                <w:i w:val="1"/>
                <w:vertAlign w:val="baseline"/>
                <w:rtl w:val="0"/>
              </w:rPr>
              <w:t xml:space="preserve">in vivo</w:t>
            </w:r>
            <w:r w:rsidDel="00000000" w:rsidR="00000000" w:rsidRPr="00000000">
              <w:rPr>
                <w:rtl w:val="0"/>
              </w:rPr>
            </w:r>
          </w:p>
        </w:tc>
      </w:tr>
      <w:tr>
        <w:tc>
          <w:tcPr>
            <w:tcBorders>
              <w:bottom w:color="000000" w:space="0" w:sz="0" w:val="nil"/>
            </w:tcBorders>
            <w:vAlign w:val="top"/>
          </w:tcPr>
          <w:p w:rsidR="00000000" w:rsidDel="00000000" w:rsidP="00000000" w:rsidRDefault="00000000" w:rsidRPr="00000000" w14:paraId="0000000E">
            <w:pPr>
              <w:rPr>
                <w:b w:val="0"/>
                <w:vertAlign w:val="baseline"/>
              </w:rPr>
            </w:pPr>
            <w:r w:rsidDel="00000000" w:rsidR="00000000" w:rsidRPr="00000000">
              <w:rPr>
                <w:b w:val="1"/>
                <w:vertAlign w:val="baseline"/>
                <w:rtl w:val="0"/>
              </w:rPr>
              <w:t xml:space="preserve">Advantages:</w:t>
            </w:r>
            <w:r w:rsidDel="00000000" w:rsidR="00000000" w:rsidRPr="00000000">
              <w:rPr>
                <w:rtl w:val="0"/>
              </w:rPr>
            </w:r>
          </w:p>
        </w:tc>
      </w:tr>
      <w:tr>
        <w:trPr>
          <w:trHeight w:val="2100" w:hRule="atLeast"/>
        </w:trPr>
        <w:tc>
          <w:tcPr>
            <w:tcBorders>
              <w:top w:color="000000" w:space="0" w:sz="0" w:val="nil"/>
              <w:bottom w:color="000000" w:space="0" w:sz="4" w:val="single"/>
            </w:tcBorders>
            <w:vAlign w:val="top"/>
          </w:tcPr>
          <w:p w:rsidR="00000000" w:rsidDel="00000000" w:rsidP="00000000" w:rsidRDefault="00000000" w:rsidRPr="00000000" w14:paraId="0000000F">
            <w:pPr>
              <w:jc w:val="both"/>
              <w:rPr>
                <w:vertAlign w:val="baseline"/>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pPr>
            <w:r w:rsidDel="00000000" w:rsidR="00000000" w:rsidRPr="00000000">
              <w:rPr>
                <w:vertAlign w:val="baseline"/>
                <w:rtl w:val="0"/>
              </w:rPr>
              <w:t xml:space="preserve">The albumin-binding probe enables to prolong the action of any amino containing molecule </w:t>
            </w:r>
            <w:r w:rsidDel="00000000" w:rsidR="00000000" w:rsidRPr="00000000">
              <w:rPr>
                <w:i w:val="1"/>
                <w:vertAlign w:val="baseline"/>
                <w:rtl w:val="0"/>
              </w:rPr>
              <w:t xml:space="preserve">in vivo</w:t>
            </w:r>
            <w:r w:rsidDel="00000000" w:rsidR="00000000" w:rsidRPr="00000000">
              <w:rPr>
                <w:vertAlign w:val="baseline"/>
                <w:rtl w:val="0"/>
              </w:rPr>
              <w:t xml:space="preserve">, without the drawback of inactivation that often occurs upon such derivatization</w:t>
            </w:r>
          </w:p>
          <w:p w:rsidR="00000000" w:rsidDel="00000000" w:rsidP="00000000" w:rsidRDefault="00000000" w:rsidRPr="00000000" w14:paraId="00000011">
            <w:pPr>
              <w:numPr>
                <w:ilvl w:val="0"/>
                <w:numId w:val="1"/>
              </w:numPr>
              <w:ind w:left="720" w:hanging="360"/>
              <w:jc w:val="both"/>
              <w:rPr/>
            </w:pPr>
            <w:r w:rsidDel="00000000" w:rsidR="00000000" w:rsidRPr="00000000">
              <w:rPr>
                <w:vertAlign w:val="baseline"/>
                <w:rtl w:val="0"/>
              </w:rPr>
              <w:t xml:space="preserve">Conjugate reactivation takes place in body fluids at a slow rate, with a desirable pharmacokinetic pattern</w:t>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rtl w:val="0"/>
              </w:rPr>
            </w:r>
          </w:p>
        </w:tc>
      </w:tr>
      <w:tr>
        <w:trPr>
          <w:trHeight w:val="2660" w:hRule="atLeast"/>
        </w:trPr>
        <w:tc>
          <w:tcPr>
            <w:tcBorders>
              <w:top w:color="000000" w:space="0" w:sz="4" w:val="single"/>
              <w:bottom w:color="000000" w:space="0" w:sz="4" w:val="single"/>
            </w:tcBorders>
            <w:vAlign w:val="top"/>
          </w:tcPr>
          <w:p w:rsidR="00000000" w:rsidDel="00000000" w:rsidP="00000000" w:rsidRDefault="00000000" w:rsidRPr="00000000" w14:paraId="00000014">
            <w:pPr>
              <w:jc w:val="both"/>
              <w:rPr>
                <w:b w:val="0"/>
                <w:vertAlign w:val="baseline"/>
              </w:rPr>
            </w:pPr>
            <w:r w:rsidDel="00000000" w:rsidR="00000000" w:rsidRPr="00000000">
              <w:rPr>
                <w:b w:val="1"/>
                <w:vertAlign w:val="baseline"/>
                <w:rtl w:val="0"/>
              </w:rPr>
              <w:t xml:space="preserve">Technology's essence :</w:t>
            </w: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rtl w:val="0"/>
              </w:rPr>
            </w:r>
          </w:p>
          <w:p w:rsidR="00000000" w:rsidDel="00000000" w:rsidP="00000000" w:rsidRDefault="00000000" w:rsidRPr="00000000" w14:paraId="00000016">
            <w:pPr>
              <w:jc w:val="both"/>
              <w:rPr>
                <w:vertAlign w:val="baseline"/>
              </w:rPr>
            </w:pPr>
            <w:r w:rsidDel="00000000" w:rsidR="00000000" w:rsidRPr="00000000">
              <w:rPr>
                <w:vertAlign w:val="baseline"/>
                <w:rtl w:val="0"/>
              </w:rPr>
              <w:t xml:space="preserve">Since albumin is long-lived </w:t>
            </w:r>
            <w:r w:rsidDel="00000000" w:rsidR="00000000" w:rsidRPr="00000000">
              <w:rPr>
                <w:i w:val="1"/>
                <w:vertAlign w:val="baseline"/>
                <w:rtl w:val="0"/>
              </w:rPr>
              <w:t xml:space="preserve">in vivo</w:t>
            </w:r>
            <w:r w:rsidDel="00000000" w:rsidR="00000000" w:rsidRPr="00000000">
              <w:rPr>
                <w:vertAlign w:val="baseline"/>
                <w:rtl w:val="0"/>
              </w:rPr>
              <w:t xml:space="preserve">, drugs and endogenous substances that tightly associate with it have lower clearance rates than that of the unbound substances, and exhibit prolonged lifetime profiles </w:t>
            </w:r>
            <w:r w:rsidDel="00000000" w:rsidR="00000000" w:rsidRPr="00000000">
              <w:rPr>
                <w:i w:val="1"/>
                <w:vertAlign w:val="baseline"/>
                <w:rtl w:val="0"/>
              </w:rPr>
              <w:t xml:space="preserve">in vivo</w:t>
            </w:r>
            <w:r w:rsidDel="00000000" w:rsidR="00000000" w:rsidRPr="00000000">
              <w:rPr>
                <w:vertAlign w:val="baseline"/>
                <w:rtl w:val="0"/>
              </w:rPr>
              <w:t xml:space="preserve">. The present invention is based on a concept according to which a long chain fatty acid (LCFA) like albumin-binding compound is covalently linked to a short-lived amino-containing drug to form a non-covalent drug conjugate capable of associating with albumin </w:t>
            </w:r>
            <w:r w:rsidDel="00000000" w:rsidR="00000000" w:rsidRPr="00000000">
              <w:rPr>
                <w:i w:val="1"/>
                <w:vertAlign w:val="baseline"/>
                <w:rtl w:val="0"/>
              </w:rPr>
              <w:t xml:space="preserve">in vivo</w:t>
            </w:r>
            <w:r w:rsidDel="00000000" w:rsidR="00000000" w:rsidRPr="00000000">
              <w:rPr>
                <w:vertAlign w:val="baseline"/>
                <w:rtl w:val="0"/>
              </w:rPr>
              <w:t xml:space="preserve">, i.e., a long-lived prodrug that gradually releases the pharmacologically active constituent. This approach has been successfully implemented with several drugs (e.g. insulin, exendin and gentamicin). </w:t>
            </w:r>
          </w:p>
          <w:p w:rsidR="00000000" w:rsidDel="00000000" w:rsidP="00000000" w:rsidRDefault="00000000" w:rsidRPr="00000000" w14:paraId="00000017">
            <w:pPr>
              <w:jc w:val="both"/>
              <w:rPr>
                <w:vertAlign w:val="baseline"/>
              </w:rPr>
            </w:pPr>
            <w:r w:rsidDel="00000000" w:rsidR="00000000" w:rsidRPr="00000000">
              <w:rPr>
                <w:rtl w:val="0"/>
              </w:rPr>
            </w:r>
          </w:p>
        </w:tc>
      </w:tr>
    </w:tbl>
    <w:p w:rsidR="00000000" w:rsidDel="00000000" w:rsidP="00000000" w:rsidRDefault="00000000" w:rsidRPr="00000000" w14:paraId="00000018">
      <w:pPr>
        <w:rPr>
          <w:vertAlign w:val="baseline"/>
        </w:rPr>
      </w:pPr>
      <w:r w:rsidDel="00000000" w:rsidR="00000000" w:rsidRPr="00000000">
        <w:rPr>
          <w:rtl w:val="0"/>
        </w:rPr>
      </w:r>
    </w:p>
    <w:sectPr>
      <w:pgSz w:h="16838" w:w="11906"/>
      <w:pgMar w:bottom="1440" w:top="1440" w:left="1800" w:right="1800" w:header="720" w:footer="720"/>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