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8C22D" w14:textId="3F82E478" w:rsidR="005B581A" w:rsidRDefault="00552876" w:rsidP="00F477B2">
      <w:pPr>
        <w:bidi w:val="0"/>
        <w:jc w:val="both"/>
      </w:pPr>
      <w:r>
        <w:rPr>
          <w:rFonts w:asciiTheme="minorHAnsi" w:hAnsiTheme="minorHAnsi"/>
          <w:b/>
          <w:bCs/>
          <w:sz w:val="36"/>
          <w:szCs w:val="36"/>
          <w:u w:val="single"/>
        </w:rPr>
        <w:t>Finding Microbiome and Probiotic Applications for Arbitrium</w:t>
      </w:r>
    </w:p>
    <w:p w14:paraId="66BE15A2" w14:textId="77777777" w:rsidR="005B5B02" w:rsidRDefault="005B5B02">
      <w:pPr>
        <w:bidi w:val="0"/>
        <w:spacing w:after="120"/>
        <w:jc w:val="both"/>
        <w:rPr>
          <w:rFonts w:ascii="Calibri" w:hAnsi="Calibri"/>
          <w:sz w:val="22"/>
          <w:szCs w:val="22"/>
        </w:rPr>
      </w:pPr>
      <w:r w:rsidRPr="005B5B02">
        <w:rPr>
          <w:rFonts w:ascii="Calibri" w:hAnsi="Calibri"/>
          <w:sz w:val="22"/>
          <w:szCs w:val="22"/>
        </w:rPr>
        <w:t xml:space="preserve">Principal Investigator: </w:t>
      </w:r>
      <w:r w:rsidR="00B2595D">
        <w:rPr>
          <w:rFonts w:ascii="Calibri" w:hAnsi="Calibri"/>
          <w:sz w:val="22"/>
          <w:szCs w:val="22"/>
        </w:rPr>
        <w:t xml:space="preserve">Prof. </w:t>
      </w:r>
      <w:r w:rsidR="002314C3">
        <w:rPr>
          <w:rFonts w:ascii="Calibri" w:hAnsi="Calibri"/>
          <w:sz w:val="22"/>
          <w:szCs w:val="22"/>
        </w:rPr>
        <w:t>Rotem Sorek</w:t>
      </w:r>
      <w:r w:rsidR="00B361D9">
        <w:rPr>
          <w:rFonts w:ascii="Calibri" w:hAnsi="Calibri"/>
          <w:sz w:val="22"/>
          <w:szCs w:val="22"/>
        </w:rPr>
        <w:t xml:space="preserve">. Yeda ref. </w:t>
      </w:r>
      <w:r w:rsidR="00085F0F">
        <w:rPr>
          <w:rFonts w:ascii="Calibri" w:hAnsi="Calibri"/>
          <w:sz w:val="22"/>
          <w:szCs w:val="22"/>
        </w:rPr>
        <w:t>1847</w:t>
      </w:r>
    </w:p>
    <w:p w14:paraId="2550C72A" w14:textId="7F8E475C" w:rsidR="0095178D" w:rsidRDefault="005B5B02" w:rsidP="00867388">
      <w:pPr>
        <w:bidi w:val="0"/>
        <w:spacing w:after="60"/>
        <w:jc w:val="both"/>
        <w:rPr>
          <w:rFonts w:ascii="Calibri" w:hAnsi="Calibri"/>
          <w:sz w:val="22"/>
          <w:szCs w:val="22"/>
        </w:rPr>
      </w:pPr>
      <w:r w:rsidRPr="005B5B02">
        <w:rPr>
          <w:rFonts w:ascii="Calibri" w:hAnsi="Calibri"/>
          <w:sz w:val="22"/>
          <w:szCs w:val="22"/>
          <w:u w:val="single"/>
        </w:rPr>
        <w:t>Summary</w:t>
      </w:r>
      <w:r w:rsidR="00552876">
        <w:rPr>
          <w:rFonts w:ascii="Calibri" w:hAnsi="Calibri"/>
          <w:sz w:val="22"/>
          <w:szCs w:val="22"/>
          <w:u w:val="single"/>
        </w:rPr>
        <w:t xml:space="preserve"> of the technology taken from the Webpage</w:t>
      </w:r>
      <w:r w:rsidRPr="005B5B02">
        <w:rPr>
          <w:rFonts w:ascii="Calibri" w:hAnsi="Calibri"/>
          <w:sz w:val="22"/>
          <w:szCs w:val="22"/>
          <w:u w:val="single"/>
        </w:rPr>
        <w:t>:</w:t>
      </w:r>
      <w:r w:rsidRPr="005B5B02">
        <w:rPr>
          <w:rFonts w:ascii="Calibri" w:hAnsi="Calibri"/>
          <w:sz w:val="22"/>
          <w:szCs w:val="22"/>
        </w:rPr>
        <w:t xml:space="preserve"> </w:t>
      </w:r>
    </w:p>
    <w:p w14:paraId="79B43518" w14:textId="31B4ED85" w:rsidR="008005A0" w:rsidRDefault="008D7DCA" w:rsidP="001337A5">
      <w:pPr>
        <w:bidi w:val="0"/>
        <w:jc w:val="both"/>
        <w:rPr>
          <w:rFonts w:ascii="Calibri" w:hAnsi="Calibri" w:cs="Calibri"/>
          <w:sz w:val="22"/>
          <w:szCs w:val="22"/>
        </w:rPr>
      </w:pPr>
      <w:r w:rsidRPr="00FA24DE">
        <w:rPr>
          <w:rFonts w:ascii="Calibri" w:hAnsi="Calibri" w:cs="Calibri"/>
          <w:sz w:val="22"/>
          <w:szCs w:val="22"/>
        </w:rPr>
        <w:t>The rese</w:t>
      </w:r>
      <w:r>
        <w:rPr>
          <w:rFonts w:ascii="Calibri" w:hAnsi="Calibri" w:cs="Calibri"/>
          <w:sz w:val="22"/>
          <w:szCs w:val="22"/>
        </w:rPr>
        <w:t xml:space="preserve">arch group led by Prof. </w:t>
      </w:r>
      <w:r w:rsidR="00AD3485">
        <w:rPr>
          <w:rFonts w:ascii="Calibri" w:hAnsi="Calibri" w:cs="Calibri"/>
          <w:sz w:val="22"/>
          <w:szCs w:val="22"/>
        </w:rPr>
        <w:t>Rotem Sorek</w:t>
      </w:r>
      <w:r>
        <w:rPr>
          <w:rFonts w:ascii="Calibri" w:hAnsi="Calibri" w:cs="Calibri"/>
          <w:sz w:val="22"/>
          <w:szCs w:val="22"/>
        </w:rPr>
        <w:t xml:space="preserve"> from the Weizmann Institute of Science (WIS) has </w:t>
      </w:r>
      <w:r w:rsidR="007F7F4C">
        <w:rPr>
          <w:rFonts w:ascii="Calibri" w:hAnsi="Calibri" w:cs="Calibri"/>
          <w:sz w:val="22"/>
          <w:szCs w:val="22"/>
        </w:rPr>
        <w:t xml:space="preserve">discovered </w:t>
      </w:r>
      <w:r w:rsidR="007718F6">
        <w:rPr>
          <w:rFonts w:ascii="Calibri" w:hAnsi="Calibri" w:cs="Calibri"/>
          <w:sz w:val="22"/>
          <w:szCs w:val="22"/>
        </w:rPr>
        <w:t>a novel family of expression systems. The basis of said expression systems is that a six (6) amino acid peptide binds a transcription factor (TF), inhibiting it. The peptide/TF system is shown to be sequence specific, s</w:t>
      </w:r>
      <w:r w:rsidR="005F1C6F">
        <w:rPr>
          <w:rFonts w:ascii="Calibri" w:hAnsi="Calibri" w:cs="Calibri"/>
          <w:sz w:val="22"/>
          <w:szCs w:val="22"/>
        </w:rPr>
        <w:t xml:space="preserve">uch that a </w:t>
      </w:r>
      <w:r w:rsidR="00D505B1">
        <w:rPr>
          <w:rFonts w:ascii="Calibri" w:hAnsi="Calibri" w:cs="Calibri"/>
          <w:sz w:val="22"/>
          <w:szCs w:val="22"/>
        </w:rPr>
        <w:t>TF</w:t>
      </w:r>
      <w:r w:rsidR="007718F6">
        <w:rPr>
          <w:rFonts w:ascii="Calibri" w:hAnsi="Calibri" w:cs="Calibri"/>
          <w:sz w:val="22"/>
          <w:szCs w:val="22"/>
        </w:rPr>
        <w:t xml:space="preserve"> only r</w:t>
      </w:r>
      <w:r w:rsidR="00D505B1">
        <w:rPr>
          <w:rFonts w:ascii="Calibri" w:hAnsi="Calibri" w:cs="Calibri"/>
          <w:sz w:val="22"/>
          <w:szCs w:val="22"/>
        </w:rPr>
        <w:t>e</w:t>
      </w:r>
      <w:r w:rsidR="007718F6">
        <w:rPr>
          <w:rFonts w:ascii="Calibri" w:hAnsi="Calibri" w:cs="Calibri"/>
          <w:sz w:val="22"/>
          <w:szCs w:val="22"/>
        </w:rPr>
        <w:t>s</w:t>
      </w:r>
      <w:r w:rsidR="00D505B1">
        <w:rPr>
          <w:rFonts w:ascii="Calibri" w:hAnsi="Calibri" w:cs="Calibri"/>
          <w:sz w:val="22"/>
          <w:szCs w:val="22"/>
        </w:rPr>
        <w:t>ponds</w:t>
      </w:r>
      <w:r w:rsidR="007718F6">
        <w:rPr>
          <w:rFonts w:ascii="Calibri" w:hAnsi="Calibri" w:cs="Calibri"/>
          <w:sz w:val="22"/>
          <w:szCs w:val="22"/>
        </w:rPr>
        <w:t xml:space="preserve"> to its corresponding peptide. Additionally</w:t>
      </w:r>
      <w:r w:rsidR="001337A5">
        <w:rPr>
          <w:rFonts w:ascii="Calibri" w:hAnsi="Calibri" w:cs="Calibri"/>
          <w:sz w:val="22"/>
          <w:szCs w:val="22"/>
        </w:rPr>
        <w:t>,</w:t>
      </w:r>
      <w:r w:rsidR="007718F6">
        <w:rPr>
          <w:rFonts w:ascii="Calibri" w:hAnsi="Calibri" w:cs="Calibri"/>
          <w:sz w:val="22"/>
          <w:szCs w:val="22"/>
        </w:rPr>
        <w:t xml:space="preserve"> each peptide/</w:t>
      </w:r>
      <w:r w:rsidR="005F1C6F">
        <w:rPr>
          <w:rFonts w:ascii="Calibri" w:hAnsi="Calibri" w:cs="Calibri"/>
          <w:sz w:val="22"/>
          <w:szCs w:val="22"/>
        </w:rPr>
        <w:t>TF</w:t>
      </w:r>
      <w:r w:rsidR="007718F6">
        <w:rPr>
          <w:rFonts w:ascii="Calibri" w:hAnsi="Calibri" w:cs="Calibri"/>
          <w:sz w:val="22"/>
          <w:szCs w:val="22"/>
        </w:rPr>
        <w:t xml:space="preserve"> pair only </w:t>
      </w:r>
      <w:r w:rsidR="005F1C6F">
        <w:rPr>
          <w:rFonts w:ascii="Calibri" w:hAnsi="Calibri" w:cs="Calibri"/>
          <w:sz w:val="22"/>
          <w:szCs w:val="22"/>
        </w:rPr>
        <w:t>activates a</w:t>
      </w:r>
      <w:r w:rsidR="004A52DA">
        <w:rPr>
          <w:rFonts w:ascii="Calibri" w:hAnsi="Calibri" w:cs="Calibri"/>
          <w:sz w:val="22"/>
          <w:szCs w:val="22"/>
        </w:rPr>
        <w:t>n</w:t>
      </w:r>
      <w:r w:rsidR="007718F6">
        <w:rPr>
          <w:rFonts w:ascii="Calibri" w:hAnsi="Calibri" w:cs="Calibri"/>
          <w:sz w:val="22"/>
          <w:szCs w:val="22"/>
        </w:rPr>
        <w:t xml:space="preserve"> </w:t>
      </w:r>
      <w:r w:rsidR="004A52DA">
        <w:rPr>
          <w:rFonts w:ascii="Calibri" w:hAnsi="Calibri" w:cs="Calibri"/>
          <w:sz w:val="22"/>
          <w:szCs w:val="22"/>
        </w:rPr>
        <w:t>explicit</w:t>
      </w:r>
      <w:r w:rsidR="007718F6">
        <w:rPr>
          <w:rFonts w:ascii="Calibri" w:hAnsi="Calibri" w:cs="Calibri"/>
          <w:sz w:val="22"/>
          <w:szCs w:val="22"/>
        </w:rPr>
        <w:t xml:space="preserve"> promoter. The Sorek group has discovered over 100</w:t>
      </w:r>
      <w:r w:rsidR="00A577B5">
        <w:rPr>
          <w:rFonts w:ascii="Calibri" w:hAnsi="Calibri" w:cs="Calibri"/>
          <w:sz w:val="22"/>
          <w:szCs w:val="22"/>
        </w:rPr>
        <w:t xml:space="preserve"> unique</w:t>
      </w:r>
      <w:r w:rsidR="007718F6">
        <w:rPr>
          <w:rFonts w:ascii="Calibri" w:hAnsi="Calibri" w:cs="Calibri"/>
          <w:sz w:val="22"/>
          <w:szCs w:val="22"/>
        </w:rPr>
        <w:t xml:space="preserve"> peptide/TF pairs, each </w:t>
      </w:r>
      <w:r w:rsidR="00375020">
        <w:rPr>
          <w:rFonts w:ascii="Calibri" w:hAnsi="Calibri" w:cs="Calibri"/>
          <w:sz w:val="22"/>
          <w:szCs w:val="22"/>
        </w:rPr>
        <w:t>with a specific</w:t>
      </w:r>
      <w:r w:rsidR="00A577B5">
        <w:rPr>
          <w:rFonts w:ascii="Calibri" w:hAnsi="Calibri" w:cs="Calibri"/>
          <w:sz w:val="22"/>
          <w:szCs w:val="22"/>
        </w:rPr>
        <w:t xml:space="preserve"> TF that binds a specific peptide sequence</w:t>
      </w:r>
      <w:r w:rsidR="00375020">
        <w:rPr>
          <w:rFonts w:ascii="Calibri" w:hAnsi="Calibri" w:cs="Calibri"/>
          <w:sz w:val="22"/>
          <w:szCs w:val="22"/>
        </w:rPr>
        <w:t xml:space="preserve">. </w:t>
      </w:r>
      <w:r w:rsidR="00B714F0">
        <w:rPr>
          <w:rFonts w:ascii="Calibri" w:hAnsi="Calibri" w:cs="Calibri"/>
          <w:sz w:val="22"/>
          <w:szCs w:val="22"/>
        </w:rPr>
        <w:t xml:space="preserve">Consequently, </w:t>
      </w:r>
      <w:r w:rsidR="00B52F64">
        <w:rPr>
          <w:rFonts w:ascii="Calibri" w:hAnsi="Calibri" w:cs="Calibri"/>
          <w:sz w:val="22"/>
          <w:szCs w:val="22"/>
        </w:rPr>
        <w:t xml:space="preserve">this generates a large array of orthogonal transcription systems that have a standardized dynamic range and expression profile. </w:t>
      </w:r>
      <w:r w:rsidR="001337A5">
        <w:rPr>
          <w:rFonts w:ascii="Calibri" w:hAnsi="Calibri" w:cs="Calibri"/>
          <w:sz w:val="22"/>
          <w:szCs w:val="22"/>
        </w:rPr>
        <w:t>This</w:t>
      </w:r>
      <w:r w:rsidR="00B52F64">
        <w:rPr>
          <w:rFonts w:ascii="Calibri" w:hAnsi="Calibri" w:cs="Calibri"/>
          <w:sz w:val="22"/>
          <w:szCs w:val="22"/>
        </w:rPr>
        <w:t xml:space="preserve"> system could be used in the design and control of gene expression across both prokaryotic and eukaryotic systems, as well as applications in controlling genome editing. </w:t>
      </w:r>
    </w:p>
    <w:p w14:paraId="0508DC24" w14:textId="3FF1F5DE" w:rsidR="00552876" w:rsidRDefault="00552876" w:rsidP="00552876">
      <w:pPr>
        <w:bidi w:val="0"/>
        <w:jc w:val="both"/>
        <w:rPr>
          <w:rFonts w:ascii="Calibri" w:hAnsi="Calibri" w:cs="Calibri"/>
          <w:sz w:val="22"/>
          <w:szCs w:val="22"/>
        </w:rPr>
      </w:pPr>
    </w:p>
    <w:p w14:paraId="4B215E3F" w14:textId="04C7AADF" w:rsidR="009A0D3F" w:rsidRDefault="00C07575" w:rsidP="009A0D3F">
      <w:pPr>
        <w:bidi w:val="0"/>
        <w:jc w:val="both"/>
        <w:rPr>
          <w:rFonts w:ascii="Calibri" w:hAnsi="Calibri" w:cs="Calibri"/>
          <w:sz w:val="22"/>
          <w:szCs w:val="22"/>
        </w:rPr>
      </w:pPr>
      <w:r w:rsidRPr="009A0D3F">
        <w:rPr>
          <w:rFonts w:ascii="Calibri" w:hAnsi="Calibri" w:cs="Calibri"/>
          <w:sz w:val="22"/>
          <w:szCs w:val="22"/>
          <w:u w:val="single"/>
        </w:rPr>
        <w:t>Keywords: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4072269B" w14:textId="7AF2EFFF" w:rsidR="00552876" w:rsidRDefault="009A0D3F" w:rsidP="009A0D3F">
      <w:p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="00C07575">
        <w:rPr>
          <w:rFonts w:ascii="Calibri" w:hAnsi="Calibri" w:cs="Calibri"/>
          <w:sz w:val="22"/>
          <w:szCs w:val="22"/>
        </w:rPr>
        <w:t xml:space="preserve">herapeutics microbes, therapeutic microbiomes, </w:t>
      </w:r>
    </w:p>
    <w:p w14:paraId="54EDF250" w14:textId="4775B776" w:rsidR="009A0D3F" w:rsidRDefault="009A0D3F" w:rsidP="009A0D3F">
      <w:pPr>
        <w:bidi w:val="0"/>
        <w:jc w:val="both"/>
        <w:rPr>
          <w:rFonts w:ascii="Calibri" w:hAnsi="Calibri" w:cs="Calibri"/>
          <w:sz w:val="22"/>
          <w:szCs w:val="22"/>
        </w:rPr>
      </w:pPr>
    </w:p>
    <w:p w14:paraId="0A0BFFE3" w14:textId="1EF2BED8" w:rsidR="009A0D3F" w:rsidRDefault="00CE5A97" w:rsidP="007F7C9F">
      <w:p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Potential Investors</w:t>
      </w:r>
      <w:r w:rsidR="006B08D2">
        <w:rPr>
          <w:rFonts w:ascii="Calibri" w:hAnsi="Calibri" w:cs="Calibri"/>
          <w:sz w:val="22"/>
          <w:szCs w:val="22"/>
          <w:u w:val="single"/>
        </w:rPr>
        <w:t xml:space="preserve"> in Therapeutic Microbiomics</w:t>
      </w:r>
      <w:r>
        <w:rPr>
          <w:rFonts w:ascii="Calibri" w:hAnsi="Calibri" w:cs="Calibri"/>
          <w:sz w:val="22"/>
          <w:szCs w:val="22"/>
          <w:u w:val="single"/>
        </w:rPr>
        <w:t>:</w:t>
      </w:r>
    </w:p>
    <w:p w14:paraId="05AD5124" w14:textId="77777777" w:rsidR="00CE5A97" w:rsidRDefault="00CE5A97" w:rsidP="00CE5A97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Viking Global</w:t>
      </w:r>
    </w:p>
    <w:p w14:paraId="7FA4F18C" w14:textId="77777777" w:rsidR="00CE5A97" w:rsidRDefault="00CE5A97" w:rsidP="00CE5A97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CE5A97">
        <w:rPr>
          <w:rFonts w:ascii="Calibri" w:hAnsi="Calibri" w:cs="Calibri"/>
          <w:sz w:val="22"/>
          <w:szCs w:val="22"/>
        </w:rPr>
        <w:t>Y Combinator’s Continuity Fund</w:t>
      </w:r>
    </w:p>
    <w:p w14:paraId="005EB79A" w14:textId="77777777" w:rsidR="00CE5A97" w:rsidRDefault="00CE5A97" w:rsidP="00CE5A97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CE5A97">
        <w:rPr>
          <w:rFonts w:ascii="Calibri" w:hAnsi="Calibri" w:cs="Calibri"/>
          <w:sz w:val="22"/>
          <w:szCs w:val="22"/>
        </w:rPr>
        <w:t>Cascade Investment</w:t>
      </w:r>
    </w:p>
    <w:p w14:paraId="72EB2CE3" w14:textId="77777777" w:rsidR="00CE5A97" w:rsidRDefault="00CE5A97" w:rsidP="00CE5A97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CE5A97">
        <w:rPr>
          <w:rFonts w:ascii="Calibri" w:hAnsi="Calibri" w:cs="Calibri"/>
          <w:sz w:val="22"/>
          <w:szCs w:val="22"/>
        </w:rPr>
        <w:t>Bill Gates</w:t>
      </w:r>
    </w:p>
    <w:p w14:paraId="43D2BE09" w14:textId="00B93F45" w:rsidR="00CE5A97" w:rsidRDefault="00CE5A97" w:rsidP="00CE5A97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CE5A97">
        <w:rPr>
          <w:rFonts w:ascii="Calibri" w:hAnsi="Calibri" w:cs="Calibri"/>
          <w:sz w:val="22"/>
          <w:szCs w:val="22"/>
        </w:rPr>
        <w:t>General Atlantic</w:t>
      </w:r>
    </w:p>
    <w:p w14:paraId="260BFBCB" w14:textId="77777777" w:rsidR="00DD447C" w:rsidRDefault="00DD447C" w:rsidP="00DD447C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DD447C">
        <w:rPr>
          <w:rFonts w:ascii="Calibri" w:hAnsi="Calibri" w:cs="Calibri"/>
          <w:sz w:val="22"/>
          <w:szCs w:val="22"/>
        </w:rPr>
        <w:t>8VS</w:t>
      </w:r>
    </w:p>
    <w:p w14:paraId="5DBCF7BB" w14:textId="08F183BE" w:rsidR="00DD447C" w:rsidRDefault="00DD447C" w:rsidP="00DD447C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DD447C">
        <w:rPr>
          <w:rFonts w:ascii="Calibri" w:hAnsi="Calibri" w:cs="Calibri"/>
          <w:sz w:val="22"/>
          <w:szCs w:val="22"/>
        </w:rPr>
        <w:t>OS Fund</w:t>
      </w:r>
    </w:p>
    <w:p w14:paraId="3457B530" w14:textId="512DFCAB" w:rsidR="003F3438" w:rsidRDefault="003F3438" w:rsidP="003F3438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3F3438">
        <w:rPr>
          <w:rFonts w:ascii="Calibri" w:hAnsi="Calibri" w:cs="Calibri"/>
          <w:sz w:val="22"/>
          <w:szCs w:val="22"/>
        </w:rPr>
        <w:t>Andreessen Horowitz</w:t>
      </w:r>
    </w:p>
    <w:p w14:paraId="6C4313AB" w14:textId="69CBD351" w:rsidR="00385CF1" w:rsidRDefault="00385CF1" w:rsidP="00385CF1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385CF1">
        <w:rPr>
          <w:rFonts w:ascii="Calibri" w:hAnsi="Calibri" w:cs="Calibri"/>
          <w:sz w:val="22"/>
          <w:szCs w:val="22"/>
        </w:rPr>
        <w:t>Illumina Ventures</w:t>
      </w:r>
    </w:p>
    <w:p w14:paraId="4B76A8E9" w14:textId="381BDD59" w:rsidR="00313CAD" w:rsidRDefault="00313CAD" w:rsidP="00313CAD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313CAD">
        <w:rPr>
          <w:rFonts w:ascii="Calibri" w:hAnsi="Calibri" w:cs="Calibri"/>
          <w:sz w:val="22"/>
          <w:szCs w:val="22"/>
        </w:rPr>
        <w:t>Topspin Partners</w:t>
      </w:r>
    </w:p>
    <w:p w14:paraId="200773A1" w14:textId="752973C4" w:rsidR="00AE4F62" w:rsidRDefault="00AE4F62" w:rsidP="00AE4F62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Seventure Partners</w:t>
      </w:r>
    </w:p>
    <w:p w14:paraId="524B24C2" w14:textId="5DEE5471" w:rsidR="00AE4F62" w:rsidRDefault="00AE4F62" w:rsidP="00AE4F62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Kholsa Ventures</w:t>
      </w:r>
    </w:p>
    <w:p w14:paraId="78A1EE1B" w14:textId="77777777" w:rsidR="009B20ED" w:rsidRDefault="009B20ED" w:rsidP="009B20ED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9B20ED">
        <w:rPr>
          <w:rFonts w:ascii="Calibri" w:hAnsi="Calibri" w:cs="Calibri"/>
          <w:sz w:val="22"/>
          <w:szCs w:val="22"/>
        </w:rPr>
        <w:t>Quatris Fund</w:t>
      </w:r>
    </w:p>
    <w:p w14:paraId="1B2A5356" w14:textId="6ED4C394" w:rsidR="009B20ED" w:rsidRDefault="009B20ED" w:rsidP="009B20ED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9B20ED">
        <w:rPr>
          <w:rFonts w:ascii="Calibri" w:hAnsi="Calibri" w:cs="Calibri"/>
          <w:sz w:val="22"/>
          <w:szCs w:val="22"/>
        </w:rPr>
        <w:t>Michael Berman</w:t>
      </w:r>
    </w:p>
    <w:p w14:paraId="14D33FCF" w14:textId="77777777" w:rsidR="00DC22F9" w:rsidRDefault="00DC22F9" w:rsidP="00DC22F9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DC22F9">
        <w:rPr>
          <w:rFonts w:ascii="Calibri" w:hAnsi="Calibri" w:cs="Calibri"/>
          <w:sz w:val="22"/>
          <w:szCs w:val="22"/>
        </w:rPr>
        <w:t>Janssen Pharmaceuticals</w:t>
      </w:r>
    </w:p>
    <w:p w14:paraId="735FF741" w14:textId="028710F7" w:rsidR="00DC22F9" w:rsidRDefault="00DC22F9" w:rsidP="00DC22F9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Nestle Health Science</w:t>
      </w:r>
    </w:p>
    <w:p w14:paraId="12A28B2E" w14:textId="624441EF" w:rsidR="00DC22F9" w:rsidRDefault="00DC22F9" w:rsidP="00DC22F9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DC22F9">
        <w:rPr>
          <w:rFonts w:ascii="Calibri" w:hAnsi="Calibri" w:cs="Calibri"/>
          <w:sz w:val="22"/>
          <w:szCs w:val="22"/>
        </w:rPr>
        <w:t>Lundbeckfond Ventures</w:t>
      </w:r>
    </w:p>
    <w:p w14:paraId="6FA2585F" w14:textId="1C0F0434" w:rsidR="003A5C5F" w:rsidRDefault="003A5C5F" w:rsidP="003A5C5F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3A5C5F">
        <w:rPr>
          <w:rFonts w:ascii="Calibri" w:hAnsi="Calibri" w:cs="Calibri"/>
          <w:sz w:val="22"/>
          <w:szCs w:val="22"/>
        </w:rPr>
        <w:t>Rock Springs Capital</w:t>
      </w:r>
    </w:p>
    <w:p w14:paraId="072106C0" w14:textId="712FBDE2" w:rsidR="00234E95" w:rsidRDefault="00234E95" w:rsidP="00234E95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Biocodex</w:t>
      </w:r>
    </w:p>
    <w:p w14:paraId="56F91A6A" w14:textId="77777777" w:rsidR="00234E95" w:rsidRDefault="00234E95" w:rsidP="00234E95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234E95">
        <w:rPr>
          <w:rFonts w:ascii="Calibri" w:hAnsi="Calibri" w:cs="Calibri"/>
          <w:sz w:val="22"/>
          <w:szCs w:val="22"/>
        </w:rPr>
        <w:t>Digitalis Ventures</w:t>
      </w:r>
    </w:p>
    <w:p w14:paraId="1BC7DFEA" w14:textId="77777777" w:rsidR="00234E95" w:rsidRDefault="00234E95" w:rsidP="00234E95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234E95">
        <w:rPr>
          <w:rFonts w:ascii="Calibri" w:hAnsi="Calibri" w:cs="Calibri"/>
          <w:sz w:val="22"/>
          <w:szCs w:val="22"/>
        </w:rPr>
        <w:t>Pfizer Venture Investments</w:t>
      </w:r>
    </w:p>
    <w:p w14:paraId="2D073CCA" w14:textId="77777777" w:rsidR="00234E95" w:rsidRDefault="00234E95" w:rsidP="00234E95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234E95">
        <w:rPr>
          <w:rFonts w:ascii="Calibri" w:hAnsi="Calibri" w:cs="Calibri"/>
          <w:sz w:val="22"/>
          <w:szCs w:val="22"/>
        </w:rPr>
        <w:t>Roche Venture Fund</w:t>
      </w:r>
    </w:p>
    <w:p w14:paraId="4D06A7C5" w14:textId="77777777" w:rsidR="00234E95" w:rsidRDefault="00234E95" w:rsidP="00234E95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234E95">
        <w:rPr>
          <w:rFonts w:ascii="Calibri" w:hAnsi="Calibri" w:cs="Calibri"/>
          <w:sz w:val="22"/>
          <w:szCs w:val="22"/>
        </w:rPr>
        <w:t>Mayo Clinic</w:t>
      </w:r>
    </w:p>
    <w:p w14:paraId="4F947F10" w14:textId="135EFC79" w:rsidR="00234E95" w:rsidRDefault="00234E95" w:rsidP="00234E95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234E95">
        <w:rPr>
          <w:rFonts w:ascii="Calibri" w:hAnsi="Calibri" w:cs="Calibri"/>
          <w:sz w:val="22"/>
          <w:szCs w:val="22"/>
        </w:rPr>
        <w:t>Morgenthaler Ventures</w:t>
      </w:r>
    </w:p>
    <w:p w14:paraId="3E086182" w14:textId="53BAC52C" w:rsidR="00234E95" w:rsidRDefault="00234E95" w:rsidP="00234E95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234E95">
        <w:rPr>
          <w:rFonts w:ascii="Calibri" w:hAnsi="Calibri" w:cs="Calibri"/>
          <w:sz w:val="22"/>
          <w:szCs w:val="22"/>
        </w:rPr>
        <w:t>Indie.Bio</w:t>
      </w:r>
    </w:p>
    <w:p w14:paraId="0EE29E45" w14:textId="77777777" w:rsidR="00234E95" w:rsidRDefault="00234E95" w:rsidP="00234E95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234E95">
        <w:rPr>
          <w:rFonts w:ascii="Calibri" w:hAnsi="Calibri" w:cs="Calibri"/>
          <w:sz w:val="22"/>
          <w:szCs w:val="22"/>
        </w:rPr>
        <w:t>Pontifax</w:t>
      </w:r>
    </w:p>
    <w:p w14:paraId="3F2B16C1" w14:textId="109713E3" w:rsidR="00234E95" w:rsidRPr="003A5C5F" w:rsidRDefault="00234E95" w:rsidP="00234E95">
      <w:pPr>
        <w:pStyle w:val="ListParagraph"/>
        <w:numPr>
          <w:ilvl w:val="0"/>
          <w:numId w:val="24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234E95">
        <w:rPr>
          <w:rFonts w:ascii="Calibri" w:hAnsi="Calibri" w:cs="Calibri"/>
          <w:sz w:val="22"/>
          <w:szCs w:val="22"/>
        </w:rPr>
        <w:lastRenderedPageBreak/>
        <w:t>NCI</w:t>
      </w:r>
    </w:p>
    <w:p w14:paraId="35CF15C1" w14:textId="61BB100B" w:rsidR="007F7C9F" w:rsidRDefault="007F7C9F" w:rsidP="007F7C9F">
      <w:pPr>
        <w:bidi w:val="0"/>
        <w:jc w:val="both"/>
        <w:rPr>
          <w:rFonts w:ascii="Calibri" w:hAnsi="Calibri" w:cs="Calibri"/>
          <w:sz w:val="22"/>
          <w:szCs w:val="22"/>
        </w:rPr>
      </w:pPr>
    </w:p>
    <w:p w14:paraId="60635DC5" w14:textId="5D96453E" w:rsidR="007F7C9F" w:rsidRDefault="007F7C9F" w:rsidP="007F7C9F">
      <w:p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Potential Companies in Therapeutic Microbiomics:</w:t>
      </w:r>
    </w:p>
    <w:p w14:paraId="68EB4685" w14:textId="34444DD7" w:rsidR="007F7C9F" w:rsidRDefault="007F7C9F" w:rsidP="007F7C9F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Ginkgo Bioworks</w:t>
      </w:r>
    </w:p>
    <w:p w14:paraId="085CBF5C" w14:textId="0871F36B" w:rsidR="00A24EF0" w:rsidRDefault="005C5782" w:rsidP="000C38D1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5C5782">
        <w:rPr>
          <w:rFonts w:ascii="Calibri" w:hAnsi="Calibri" w:cs="Calibri"/>
          <w:sz w:val="22"/>
          <w:szCs w:val="22"/>
        </w:rPr>
        <w:t>Azitra</w:t>
      </w:r>
      <w:r w:rsidR="0024053A">
        <w:rPr>
          <w:rFonts w:ascii="Calibri" w:hAnsi="Calibri" w:cs="Calibri"/>
          <w:sz w:val="22"/>
          <w:szCs w:val="22"/>
        </w:rPr>
        <w:t xml:space="preserve"> (</w:t>
      </w:r>
      <w:r w:rsidR="000C38D1">
        <w:rPr>
          <w:rFonts w:ascii="Calibri" w:hAnsi="Calibri" w:cs="Calibri"/>
          <w:sz w:val="22"/>
          <w:szCs w:val="22"/>
        </w:rPr>
        <w:t>Skin related</w:t>
      </w:r>
      <w:r w:rsidR="0024053A">
        <w:rPr>
          <w:rFonts w:ascii="Calibri" w:hAnsi="Calibri" w:cs="Calibri"/>
          <w:sz w:val="22"/>
          <w:szCs w:val="22"/>
        </w:rPr>
        <w:t>)</w:t>
      </w:r>
    </w:p>
    <w:p w14:paraId="7AB54C59" w14:textId="7FC34B03" w:rsidR="000E3E13" w:rsidRDefault="000E3E13" w:rsidP="000E3E13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Naked Biome (Skin related)</w:t>
      </w:r>
    </w:p>
    <w:p w14:paraId="6B1F1AA4" w14:textId="77777777" w:rsidR="003421FC" w:rsidRDefault="003421FC" w:rsidP="003421FC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Xycrobe (Skin related)</w:t>
      </w:r>
    </w:p>
    <w:p w14:paraId="0BECFF2F" w14:textId="77777777" w:rsidR="00BA5848" w:rsidRDefault="00BA5848" w:rsidP="00BA5848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Finch (Gut health and IBD)</w:t>
      </w:r>
    </w:p>
    <w:p w14:paraId="2034C726" w14:textId="5ABA40DD" w:rsidR="00020717" w:rsidRDefault="00020717" w:rsidP="00020717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745ED4">
        <w:rPr>
          <w:rFonts w:ascii="Calibri" w:hAnsi="Calibri" w:cs="Calibri"/>
          <w:sz w:val="22"/>
          <w:szCs w:val="22"/>
        </w:rPr>
        <w:t>Enterome</w:t>
      </w:r>
      <w:r w:rsidR="0024053A">
        <w:rPr>
          <w:rFonts w:ascii="Calibri" w:hAnsi="Calibri" w:cs="Calibri"/>
          <w:sz w:val="22"/>
          <w:szCs w:val="22"/>
        </w:rPr>
        <w:t xml:space="preserve"> (IBD)</w:t>
      </w:r>
    </w:p>
    <w:p w14:paraId="5FE44EA8" w14:textId="2F782EBB" w:rsidR="0024053A" w:rsidRDefault="007E31F5" w:rsidP="0024053A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  <w:highlight w:val="green"/>
        </w:rPr>
      </w:pPr>
      <w:r w:rsidRPr="00810E24">
        <w:rPr>
          <w:rFonts w:ascii="Calibri" w:hAnsi="Calibri" w:cs="Calibri"/>
          <w:sz w:val="22"/>
          <w:szCs w:val="22"/>
          <w:highlight w:val="green"/>
        </w:rPr>
        <w:t>Second Genome (NASH, IBD, and more)</w:t>
      </w:r>
    </w:p>
    <w:p w14:paraId="30A598D9" w14:textId="2F43D3A9" w:rsidR="00810E24" w:rsidRPr="00810E24" w:rsidRDefault="00810E24" w:rsidP="00810E24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t>Intrexon</w:t>
      </w:r>
    </w:p>
    <w:p w14:paraId="3534D8A5" w14:textId="58BAB277" w:rsidR="007E31F5" w:rsidRDefault="009F1FF1" w:rsidP="007E31F5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Blue Turtle Bio </w:t>
      </w:r>
      <w:r w:rsidR="002D7AD0">
        <w:rPr>
          <w:rFonts w:ascii="Calibri" w:hAnsi="Calibri" w:cs="Calibri"/>
          <w:sz w:val="22"/>
          <w:szCs w:val="22"/>
        </w:rPr>
        <w:t>(Gaucher and rare diseases)</w:t>
      </w:r>
    </w:p>
    <w:p w14:paraId="62E4B101" w14:textId="662AB6A2" w:rsidR="001420C4" w:rsidRPr="00810E24" w:rsidRDefault="00EF708A" w:rsidP="001420C4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  <w:highlight w:val="green"/>
        </w:rPr>
      </w:pPr>
      <w:r w:rsidRPr="00810E24">
        <w:rPr>
          <w:rFonts w:ascii="Calibri" w:hAnsi="Calibri" w:cs="Calibri"/>
          <w:sz w:val="22"/>
          <w:szCs w:val="22"/>
          <w:highlight w:val="green"/>
        </w:rPr>
        <w:t>Synlogic (Gut related)</w:t>
      </w:r>
    </w:p>
    <w:p w14:paraId="0FAD60A3" w14:textId="11F4C348" w:rsidR="00313CAD" w:rsidRDefault="008007AF" w:rsidP="00313CAD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Symbiotic Health</w:t>
      </w:r>
      <w:r w:rsidR="002A4897">
        <w:rPr>
          <w:rFonts w:ascii="Calibri" w:hAnsi="Calibri" w:cs="Calibri"/>
          <w:sz w:val="22"/>
          <w:szCs w:val="22"/>
        </w:rPr>
        <w:t xml:space="preserve"> (Gut related)</w:t>
      </w:r>
    </w:p>
    <w:p w14:paraId="75F46B7B" w14:textId="07077C7E" w:rsidR="002A4897" w:rsidRDefault="002A4897" w:rsidP="002A4897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Eligo Bioscience (Gut related)</w:t>
      </w:r>
    </w:p>
    <w:p w14:paraId="453F8F57" w14:textId="53E9DF9C" w:rsidR="00141FE0" w:rsidRDefault="00141FE0" w:rsidP="00141FE0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Rebiotix (Gut related)</w:t>
      </w:r>
    </w:p>
    <w:p w14:paraId="4E344BBF" w14:textId="27809A43" w:rsidR="00141FE0" w:rsidRDefault="0005497D" w:rsidP="00141FE0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  <w:highlight w:val="green"/>
        </w:rPr>
      </w:pPr>
      <w:r w:rsidRPr="00810E24">
        <w:rPr>
          <w:rFonts w:ascii="Calibri" w:hAnsi="Calibri" w:cs="Calibri"/>
          <w:sz w:val="22"/>
          <w:szCs w:val="22"/>
          <w:highlight w:val="green"/>
        </w:rPr>
        <w:t>Vedanta</w:t>
      </w:r>
      <w:r w:rsidR="00585C91" w:rsidRPr="00810E24">
        <w:rPr>
          <w:rFonts w:ascii="Calibri" w:hAnsi="Calibri" w:cs="Calibri"/>
          <w:sz w:val="22"/>
          <w:szCs w:val="22"/>
          <w:highlight w:val="green"/>
        </w:rPr>
        <w:t xml:space="preserve"> </w:t>
      </w:r>
      <w:r w:rsidRPr="00810E24">
        <w:rPr>
          <w:rFonts w:ascii="Calibri" w:hAnsi="Calibri" w:cs="Calibri"/>
          <w:sz w:val="22"/>
          <w:szCs w:val="22"/>
          <w:highlight w:val="green"/>
        </w:rPr>
        <w:t>Bio</w:t>
      </w:r>
      <w:r w:rsidR="00585C91" w:rsidRPr="00810E24">
        <w:rPr>
          <w:rFonts w:ascii="Calibri" w:hAnsi="Calibri" w:cs="Calibri"/>
          <w:sz w:val="22"/>
          <w:szCs w:val="22"/>
          <w:highlight w:val="green"/>
        </w:rPr>
        <w:t>sciences</w:t>
      </w:r>
      <w:r w:rsidRPr="00810E24">
        <w:rPr>
          <w:rFonts w:ascii="Calibri" w:hAnsi="Calibri" w:cs="Calibri"/>
          <w:sz w:val="22"/>
          <w:szCs w:val="22"/>
          <w:highlight w:val="green"/>
        </w:rPr>
        <w:t xml:space="preserve"> (Immune related)</w:t>
      </w:r>
    </w:p>
    <w:p w14:paraId="0BAAC386" w14:textId="581BC5D9" w:rsidR="00810E24" w:rsidRDefault="00810E24" w:rsidP="00810E24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t>Ernest Pharmaceuticals</w:t>
      </w:r>
    </w:p>
    <w:p w14:paraId="3C81EC4D" w14:textId="1B2444EB" w:rsidR="00810E24" w:rsidRDefault="00810E24" w:rsidP="00810E24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t>Warp Drive Bio</w:t>
      </w:r>
    </w:p>
    <w:p w14:paraId="59749DF2" w14:textId="7282DD31" w:rsidR="00810E24" w:rsidRPr="00810E24" w:rsidRDefault="00810E24" w:rsidP="00810E24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t>Epibiome</w:t>
      </w:r>
      <w:bookmarkStart w:id="0" w:name="_GoBack"/>
      <w:bookmarkEnd w:id="0"/>
    </w:p>
    <w:p w14:paraId="3569AB3D" w14:textId="26DE7663" w:rsidR="00234E95" w:rsidRDefault="00234E95" w:rsidP="00234E95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234E95">
        <w:rPr>
          <w:rFonts w:ascii="Calibri" w:hAnsi="Calibri" w:cs="Calibri"/>
          <w:sz w:val="22"/>
          <w:szCs w:val="22"/>
        </w:rPr>
        <w:t>MaaT Pharma</w:t>
      </w:r>
    </w:p>
    <w:p w14:paraId="3F708C15" w14:textId="48FA7801" w:rsidR="00234E95" w:rsidRDefault="00234E95" w:rsidP="00234E95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</w:rPr>
      </w:pPr>
      <w:r w:rsidRPr="00234E95">
        <w:rPr>
          <w:rFonts w:ascii="Calibri" w:hAnsi="Calibri" w:cs="Calibri"/>
          <w:sz w:val="22"/>
          <w:szCs w:val="22"/>
        </w:rPr>
        <w:t>TargEDys</w:t>
      </w:r>
      <w:r>
        <w:rPr>
          <w:rFonts w:ascii="Calibri" w:hAnsi="Calibri" w:cs="Calibri"/>
          <w:sz w:val="22"/>
          <w:szCs w:val="22"/>
        </w:rPr>
        <w:t xml:space="preserve"> (manipulating hunger/fullness)</w:t>
      </w:r>
    </w:p>
    <w:p w14:paraId="4BDA9F05" w14:textId="0CFB09C6" w:rsidR="005D2B10" w:rsidRPr="007F7C9F" w:rsidRDefault="005D2B10" w:rsidP="005D2B10">
      <w:pPr>
        <w:pStyle w:val="ListParagraph"/>
        <w:numPr>
          <w:ilvl w:val="0"/>
          <w:numId w:val="25"/>
        </w:numPr>
        <w:bidi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Seres Therapeutics</w:t>
      </w:r>
      <w:r w:rsidR="00457711">
        <w:rPr>
          <w:rFonts w:ascii="Calibri" w:hAnsi="Calibri" w:cs="Calibri"/>
          <w:sz w:val="22"/>
          <w:szCs w:val="22"/>
        </w:rPr>
        <w:t xml:space="preserve"> (Gut related)</w:t>
      </w:r>
    </w:p>
    <w:p w14:paraId="6D03FE90" w14:textId="4D49BBCB" w:rsidR="009A0D3F" w:rsidRDefault="009A0D3F" w:rsidP="009A0D3F">
      <w:pPr>
        <w:bidi w:val="0"/>
        <w:jc w:val="both"/>
        <w:rPr>
          <w:rFonts w:ascii="Calibri" w:hAnsi="Calibri" w:cs="Calibri"/>
          <w:sz w:val="22"/>
          <w:szCs w:val="22"/>
        </w:rPr>
      </w:pPr>
    </w:p>
    <w:p w14:paraId="20B640BA" w14:textId="49807AB5" w:rsidR="009A0D3F" w:rsidRPr="009A0D3F" w:rsidRDefault="009A0D3F" w:rsidP="009A0D3F">
      <w:pPr>
        <w:bidi w:val="0"/>
        <w:jc w:val="both"/>
        <w:rPr>
          <w:rFonts w:ascii="Calibri" w:hAnsi="Calibri" w:cs="Calibri"/>
          <w:sz w:val="22"/>
          <w:szCs w:val="22"/>
          <w:u w:val="single"/>
        </w:rPr>
      </w:pPr>
      <w:r w:rsidRPr="009A0D3F">
        <w:rPr>
          <w:rFonts w:ascii="Calibri" w:hAnsi="Calibri" w:cs="Calibri"/>
          <w:sz w:val="22"/>
          <w:szCs w:val="22"/>
          <w:u w:val="single"/>
        </w:rPr>
        <w:t>Key Links:</w:t>
      </w:r>
    </w:p>
    <w:p w14:paraId="60F05196" w14:textId="57ADC9A1" w:rsidR="009A0D3F" w:rsidRDefault="00810E24" w:rsidP="009A0D3F">
      <w:pPr>
        <w:bidi w:val="0"/>
        <w:jc w:val="both"/>
        <w:rPr>
          <w:rFonts w:ascii="Calibri" w:eastAsia="Calibri" w:hAnsi="Calibri" w:cs="Calibri"/>
          <w:sz w:val="22"/>
          <w:szCs w:val="22"/>
        </w:rPr>
      </w:pPr>
      <w:hyperlink r:id="rId8" w:history="1">
        <w:r w:rsidR="009A0D3F" w:rsidRPr="00751481">
          <w:rPr>
            <w:rStyle w:val="Hyperlink"/>
            <w:rFonts w:ascii="Calibri" w:eastAsia="Calibri" w:hAnsi="Calibri" w:cs="Calibri"/>
            <w:sz w:val="22"/>
            <w:szCs w:val="22"/>
          </w:rPr>
          <w:t>https://www.ncbi.nlm.nih.gov/pmc/articles/PMC5404185/</w:t>
        </w:r>
      </w:hyperlink>
    </w:p>
    <w:p w14:paraId="1AE0E322" w14:textId="0E2C9F64" w:rsidR="009A0D3F" w:rsidRDefault="00810E24" w:rsidP="009A0D3F">
      <w:pPr>
        <w:bidi w:val="0"/>
        <w:jc w:val="both"/>
        <w:rPr>
          <w:rFonts w:ascii="Calibri" w:eastAsia="Calibri" w:hAnsi="Calibri" w:cs="Calibri"/>
          <w:sz w:val="22"/>
          <w:szCs w:val="22"/>
        </w:rPr>
      </w:pPr>
      <w:hyperlink r:id="rId9" w:history="1">
        <w:r w:rsidR="009A0D3F" w:rsidRPr="00751481">
          <w:rPr>
            <w:rStyle w:val="Hyperlink"/>
            <w:rFonts w:ascii="Calibri" w:eastAsia="Calibri" w:hAnsi="Calibri" w:cs="Calibri"/>
            <w:sz w:val="22"/>
            <w:szCs w:val="22"/>
          </w:rPr>
          <w:t>https://www.cbinsights.com/research/microbiome-startups-market-map-company-list/</w:t>
        </w:r>
      </w:hyperlink>
    </w:p>
    <w:p w14:paraId="4D6B5A6B" w14:textId="262A0FC1" w:rsidR="009A0D3F" w:rsidRDefault="00810E24" w:rsidP="009A0D3F">
      <w:pPr>
        <w:bidi w:val="0"/>
        <w:jc w:val="both"/>
        <w:rPr>
          <w:rFonts w:ascii="Calibri" w:eastAsia="Calibri" w:hAnsi="Calibri" w:cs="Calibri"/>
          <w:sz w:val="22"/>
          <w:szCs w:val="22"/>
        </w:rPr>
      </w:pPr>
      <w:hyperlink r:id="rId10" w:history="1">
        <w:r w:rsidR="00511DE2" w:rsidRPr="00751481">
          <w:rPr>
            <w:rStyle w:val="Hyperlink"/>
            <w:rFonts w:ascii="Calibri" w:eastAsia="Calibri" w:hAnsi="Calibri" w:cs="Calibri"/>
            <w:sz w:val="22"/>
            <w:szCs w:val="22"/>
          </w:rPr>
          <w:t>https://techcrunch.com/2017/12/14/gingko-bioworks-secures-275-million-in-series-d-valuing-the-company-at-over-1-billion/</w:t>
        </w:r>
      </w:hyperlink>
    </w:p>
    <w:p w14:paraId="232A5971" w14:textId="05F98EB7" w:rsidR="00511DE2" w:rsidRDefault="00810E24" w:rsidP="00511DE2">
      <w:pPr>
        <w:bidi w:val="0"/>
        <w:jc w:val="both"/>
        <w:rPr>
          <w:rFonts w:ascii="Calibri" w:eastAsia="Calibri" w:hAnsi="Calibri" w:cs="Calibri"/>
          <w:sz w:val="22"/>
          <w:szCs w:val="22"/>
        </w:rPr>
      </w:pPr>
      <w:hyperlink r:id="rId11" w:history="1">
        <w:r w:rsidR="00511DE2" w:rsidRPr="00751481">
          <w:rPr>
            <w:rStyle w:val="Hyperlink"/>
            <w:rFonts w:ascii="Calibri" w:eastAsia="Calibri" w:hAnsi="Calibri" w:cs="Calibri"/>
            <w:sz w:val="22"/>
            <w:szCs w:val="22"/>
          </w:rPr>
          <w:t>https://www.businesswire.com/news/home/20171208005111/en/Synlogic-Ginkgo-Bioworks-Announce-Collaboration-Step-Building</w:t>
        </w:r>
      </w:hyperlink>
    </w:p>
    <w:p w14:paraId="5BC8756B" w14:textId="77777777" w:rsidR="00511DE2" w:rsidRDefault="00511DE2" w:rsidP="00511DE2">
      <w:pPr>
        <w:bidi w:val="0"/>
        <w:jc w:val="both"/>
        <w:rPr>
          <w:rFonts w:ascii="Calibri" w:eastAsia="Calibri" w:hAnsi="Calibri" w:cs="Calibri"/>
          <w:sz w:val="22"/>
          <w:szCs w:val="22"/>
        </w:rPr>
      </w:pPr>
    </w:p>
    <w:p w14:paraId="43CE1870" w14:textId="548C64DE" w:rsidR="009A0D3F" w:rsidRDefault="009A0D3F" w:rsidP="009A0D3F">
      <w:pPr>
        <w:bidi w:val="0"/>
        <w:jc w:val="both"/>
        <w:rPr>
          <w:rFonts w:ascii="Calibri" w:eastAsia="Calibri" w:hAnsi="Calibri" w:cs="Calibri"/>
          <w:sz w:val="22"/>
          <w:szCs w:val="22"/>
        </w:rPr>
      </w:pPr>
    </w:p>
    <w:p w14:paraId="29066CDF" w14:textId="28329E25" w:rsidR="009A0D3F" w:rsidRPr="009A0D3F" w:rsidRDefault="009A0D3F" w:rsidP="009A0D3F">
      <w:pPr>
        <w:bidi w:val="0"/>
        <w:jc w:val="both"/>
        <w:rPr>
          <w:rFonts w:ascii="Calibri" w:eastAsia="Calibri" w:hAnsi="Calibri" w:cs="Calibri"/>
          <w:sz w:val="22"/>
          <w:szCs w:val="22"/>
          <w:u w:val="single"/>
        </w:rPr>
      </w:pPr>
      <w:r w:rsidRPr="009A0D3F">
        <w:rPr>
          <w:rFonts w:ascii="Calibri" w:eastAsia="Calibri" w:hAnsi="Calibri" w:cs="Calibri"/>
          <w:sz w:val="22"/>
          <w:szCs w:val="22"/>
          <w:u w:val="single"/>
        </w:rPr>
        <w:t>Useful Images:</w:t>
      </w:r>
    </w:p>
    <w:p w14:paraId="38E9B51A" w14:textId="273D7D40" w:rsidR="009A0D3F" w:rsidRPr="008005A0" w:rsidRDefault="009A0D3F" w:rsidP="009A0D3F">
      <w:pPr>
        <w:bidi w:val="0"/>
        <w:jc w:val="both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801AA45" wp14:editId="5F07B73C">
            <wp:extent cx="2892419" cy="2098650"/>
            <wp:effectExtent l="0" t="0" r="3810" b="0"/>
            <wp:docPr id="3" name="Picture 3" descr="Market Map last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et Map last vers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35" cy="210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D3F" w:rsidRPr="008005A0" w:rsidSect="00172EF6">
      <w:headerReference w:type="default" r:id="rId13"/>
      <w:footerReference w:type="default" r:id="rId14"/>
      <w:pgSz w:w="11906" w:h="16838"/>
      <w:pgMar w:top="243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5B515" w14:textId="77777777" w:rsidR="002431A8" w:rsidRDefault="002431A8">
      <w:r>
        <w:separator/>
      </w:r>
    </w:p>
  </w:endnote>
  <w:endnote w:type="continuationSeparator" w:id="0">
    <w:p w14:paraId="76CA63B5" w14:textId="77777777" w:rsidR="002431A8" w:rsidRDefault="0024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20AEE" w14:textId="77777777" w:rsidR="00D16BA0" w:rsidRDefault="00D16BA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FC821A" wp14:editId="6117EDBE">
          <wp:simplePos x="0" y="0"/>
          <wp:positionH relativeFrom="column">
            <wp:posOffset>-19685</wp:posOffset>
          </wp:positionH>
          <wp:positionV relativeFrom="page">
            <wp:posOffset>9822180</wp:posOffset>
          </wp:positionV>
          <wp:extent cx="4476750" cy="419100"/>
          <wp:effectExtent l="19050" t="0" r="0" b="0"/>
          <wp:wrapNone/>
          <wp:docPr id="2" name="Picture 2" descr="letter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2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81355" w14:textId="77777777" w:rsidR="002431A8" w:rsidRDefault="002431A8">
      <w:r>
        <w:separator/>
      </w:r>
    </w:p>
  </w:footnote>
  <w:footnote w:type="continuationSeparator" w:id="0">
    <w:p w14:paraId="46DDE032" w14:textId="77777777" w:rsidR="002431A8" w:rsidRDefault="00243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30256" w14:textId="77777777" w:rsidR="00D16BA0" w:rsidRDefault="00D16BA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53BEDE0" wp14:editId="5721851D">
          <wp:simplePos x="0" y="0"/>
          <wp:positionH relativeFrom="column">
            <wp:posOffset>-20955</wp:posOffset>
          </wp:positionH>
          <wp:positionV relativeFrom="page">
            <wp:posOffset>450215</wp:posOffset>
          </wp:positionV>
          <wp:extent cx="4587240" cy="764540"/>
          <wp:effectExtent l="19050" t="0" r="3810" b="0"/>
          <wp:wrapNone/>
          <wp:docPr id="1" name="Picture 1" descr="letter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1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7240" cy="76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F62D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B27B3"/>
    <w:multiLevelType w:val="hybridMultilevel"/>
    <w:tmpl w:val="F6967616"/>
    <w:lvl w:ilvl="0" w:tplc="A4F2878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12207"/>
    <w:multiLevelType w:val="hybridMultilevel"/>
    <w:tmpl w:val="2C98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357E"/>
    <w:multiLevelType w:val="hybridMultilevel"/>
    <w:tmpl w:val="B872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B3E3A"/>
    <w:multiLevelType w:val="multilevel"/>
    <w:tmpl w:val="9AFC413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970AAB"/>
    <w:multiLevelType w:val="hybridMultilevel"/>
    <w:tmpl w:val="AE72CB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4FC2346"/>
    <w:multiLevelType w:val="hybridMultilevel"/>
    <w:tmpl w:val="DEBE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1905"/>
    <w:multiLevelType w:val="hybridMultilevel"/>
    <w:tmpl w:val="FC04C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E66443"/>
    <w:multiLevelType w:val="multilevel"/>
    <w:tmpl w:val="467687FE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  <w:b/>
        <w:color w:val="000000"/>
        <w:sz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866C5"/>
    <w:multiLevelType w:val="multilevel"/>
    <w:tmpl w:val="BB0E76C0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  <w:b/>
        <w:color w:val="000000"/>
        <w:sz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B7054E"/>
    <w:multiLevelType w:val="hybridMultilevel"/>
    <w:tmpl w:val="08481260"/>
    <w:lvl w:ilvl="0" w:tplc="4B5C86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E64E7"/>
    <w:multiLevelType w:val="hybridMultilevel"/>
    <w:tmpl w:val="EAF0B87A"/>
    <w:lvl w:ilvl="0" w:tplc="A23EA1F2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EA428D4"/>
    <w:multiLevelType w:val="multilevel"/>
    <w:tmpl w:val="32BE06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D257D9"/>
    <w:multiLevelType w:val="hybridMultilevel"/>
    <w:tmpl w:val="A2D666D2"/>
    <w:lvl w:ilvl="0" w:tplc="DE40D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E4BE5"/>
    <w:multiLevelType w:val="hybridMultilevel"/>
    <w:tmpl w:val="CEF89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1657D"/>
    <w:multiLevelType w:val="hybridMultilevel"/>
    <w:tmpl w:val="1090D4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5658C9"/>
    <w:multiLevelType w:val="hybridMultilevel"/>
    <w:tmpl w:val="DE9C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57F3D"/>
    <w:multiLevelType w:val="hybridMultilevel"/>
    <w:tmpl w:val="3F2C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62160"/>
    <w:multiLevelType w:val="hybridMultilevel"/>
    <w:tmpl w:val="523E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07AB4"/>
    <w:multiLevelType w:val="hybridMultilevel"/>
    <w:tmpl w:val="2A2C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645A9"/>
    <w:multiLevelType w:val="hybridMultilevel"/>
    <w:tmpl w:val="70BC37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6893204A"/>
    <w:multiLevelType w:val="hybridMultilevel"/>
    <w:tmpl w:val="F860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E7832"/>
    <w:multiLevelType w:val="hybridMultilevel"/>
    <w:tmpl w:val="AF9A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D18AC"/>
    <w:multiLevelType w:val="hybridMultilevel"/>
    <w:tmpl w:val="62D4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5"/>
  </w:num>
  <w:num w:numId="4">
    <w:abstractNumId w:val="18"/>
  </w:num>
  <w:num w:numId="5">
    <w:abstractNumId w:val="1"/>
  </w:num>
  <w:num w:numId="6">
    <w:abstractNumId w:val="22"/>
  </w:num>
  <w:num w:numId="7">
    <w:abstractNumId w:val="17"/>
  </w:num>
  <w:num w:numId="8">
    <w:abstractNumId w:val="19"/>
  </w:num>
  <w:num w:numId="9">
    <w:abstractNumId w:val="3"/>
  </w:num>
  <w:num w:numId="10">
    <w:abstractNumId w:val="16"/>
  </w:num>
  <w:num w:numId="11">
    <w:abstractNumId w:val="10"/>
  </w:num>
  <w:num w:numId="12">
    <w:abstractNumId w:val="0"/>
  </w:num>
  <w:num w:numId="13">
    <w:abstractNumId w:val="13"/>
  </w:num>
  <w:num w:numId="14">
    <w:abstractNumId w:val="23"/>
  </w:num>
  <w:num w:numId="15">
    <w:abstractNumId w:val="5"/>
  </w:num>
  <w:num w:numId="16">
    <w:abstractNumId w:val="14"/>
  </w:num>
  <w:num w:numId="17">
    <w:abstractNumId w:val="11"/>
  </w:num>
  <w:num w:numId="18">
    <w:abstractNumId w:val="20"/>
  </w:num>
  <w:num w:numId="19">
    <w:abstractNumId w:val="4"/>
  </w:num>
  <w:num w:numId="20">
    <w:abstractNumId w:val="9"/>
  </w:num>
  <w:num w:numId="21">
    <w:abstractNumId w:val="7"/>
  </w:num>
  <w:num w:numId="22">
    <w:abstractNumId w:val="8"/>
  </w:num>
  <w:num w:numId="23">
    <w:abstractNumId w:val="12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05"/>
    <w:rsid w:val="00000144"/>
    <w:rsid w:val="00004570"/>
    <w:rsid w:val="00007D07"/>
    <w:rsid w:val="00020717"/>
    <w:rsid w:val="0005497D"/>
    <w:rsid w:val="00055183"/>
    <w:rsid w:val="000601A8"/>
    <w:rsid w:val="000758FB"/>
    <w:rsid w:val="00085F0F"/>
    <w:rsid w:val="000A4265"/>
    <w:rsid w:val="000B6FF9"/>
    <w:rsid w:val="000C38D1"/>
    <w:rsid w:val="000D16D5"/>
    <w:rsid w:val="000D2115"/>
    <w:rsid w:val="000D39F6"/>
    <w:rsid w:val="000E3E13"/>
    <w:rsid w:val="000F36ED"/>
    <w:rsid w:val="000F4E31"/>
    <w:rsid w:val="001321BA"/>
    <w:rsid w:val="001337A5"/>
    <w:rsid w:val="00141FE0"/>
    <w:rsid w:val="001420C4"/>
    <w:rsid w:val="00142691"/>
    <w:rsid w:val="0015075C"/>
    <w:rsid w:val="00172641"/>
    <w:rsid w:val="00172EF6"/>
    <w:rsid w:val="0018126A"/>
    <w:rsid w:val="00182A26"/>
    <w:rsid w:val="001852AB"/>
    <w:rsid w:val="001A1690"/>
    <w:rsid w:val="001C055A"/>
    <w:rsid w:val="001C3FC8"/>
    <w:rsid w:val="001D1A7C"/>
    <w:rsid w:val="001E1CDE"/>
    <w:rsid w:val="001E4DFA"/>
    <w:rsid w:val="001E7991"/>
    <w:rsid w:val="00221767"/>
    <w:rsid w:val="00221CFE"/>
    <w:rsid w:val="00222731"/>
    <w:rsid w:val="002314C3"/>
    <w:rsid w:val="00234E95"/>
    <w:rsid w:val="0024053A"/>
    <w:rsid w:val="002431A8"/>
    <w:rsid w:val="002505D6"/>
    <w:rsid w:val="0025454C"/>
    <w:rsid w:val="002617F5"/>
    <w:rsid w:val="00295097"/>
    <w:rsid w:val="002A4897"/>
    <w:rsid w:val="002B457C"/>
    <w:rsid w:val="002C60B8"/>
    <w:rsid w:val="002D7AD0"/>
    <w:rsid w:val="002E0799"/>
    <w:rsid w:val="002E1F5E"/>
    <w:rsid w:val="002E32FF"/>
    <w:rsid w:val="002E3A29"/>
    <w:rsid w:val="002F0E9F"/>
    <w:rsid w:val="0030534A"/>
    <w:rsid w:val="00313CAD"/>
    <w:rsid w:val="003421FC"/>
    <w:rsid w:val="00375020"/>
    <w:rsid w:val="00385CF1"/>
    <w:rsid w:val="00391C1F"/>
    <w:rsid w:val="003A5C5F"/>
    <w:rsid w:val="003B2AF3"/>
    <w:rsid w:val="003D09A1"/>
    <w:rsid w:val="003F3438"/>
    <w:rsid w:val="00400FA2"/>
    <w:rsid w:val="00410C85"/>
    <w:rsid w:val="0043702A"/>
    <w:rsid w:val="0044692B"/>
    <w:rsid w:val="00457711"/>
    <w:rsid w:val="00462F1C"/>
    <w:rsid w:val="0046332A"/>
    <w:rsid w:val="00476D84"/>
    <w:rsid w:val="004906DB"/>
    <w:rsid w:val="004A3EA8"/>
    <w:rsid w:val="004A52DA"/>
    <w:rsid w:val="004A6764"/>
    <w:rsid w:val="004B1C49"/>
    <w:rsid w:val="004B5BC7"/>
    <w:rsid w:val="004C09F3"/>
    <w:rsid w:val="004C4D9C"/>
    <w:rsid w:val="004D627A"/>
    <w:rsid w:val="004E2D6F"/>
    <w:rsid w:val="004E2EC0"/>
    <w:rsid w:val="00502B96"/>
    <w:rsid w:val="00511DE2"/>
    <w:rsid w:val="00516DAB"/>
    <w:rsid w:val="00527AC8"/>
    <w:rsid w:val="00552876"/>
    <w:rsid w:val="00576490"/>
    <w:rsid w:val="00585C91"/>
    <w:rsid w:val="00585E09"/>
    <w:rsid w:val="00586451"/>
    <w:rsid w:val="005A260D"/>
    <w:rsid w:val="005A281D"/>
    <w:rsid w:val="005B581A"/>
    <w:rsid w:val="005B5B02"/>
    <w:rsid w:val="005C5782"/>
    <w:rsid w:val="005C5B71"/>
    <w:rsid w:val="005D03B5"/>
    <w:rsid w:val="005D2B10"/>
    <w:rsid w:val="005F0D43"/>
    <w:rsid w:val="005F1C6F"/>
    <w:rsid w:val="005F3436"/>
    <w:rsid w:val="005F6556"/>
    <w:rsid w:val="005F6ED6"/>
    <w:rsid w:val="005F6F38"/>
    <w:rsid w:val="0060729A"/>
    <w:rsid w:val="00625172"/>
    <w:rsid w:val="0063427B"/>
    <w:rsid w:val="006361B9"/>
    <w:rsid w:val="0064694B"/>
    <w:rsid w:val="006471F6"/>
    <w:rsid w:val="006601C3"/>
    <w:rsid w:val="00695461"/>
    <w:rsid w:val="006A6313"/>
    <w:rsid w:val="006B08D2"/>
    <w:rsid w:val="006C26FA"/>
    <w:rsid w:val="006C3B19"/>
    <w:rsid w:val="006D1A4F"/>
    <w:rsid w:val="006E1A45"/>
    <w:rsid w:val="006E3D36"/>
    <w:rsid w:val="006F25B8"/>
    <w:rsid w:val="0071485D"/>
    <w:rsid w:val="0071698B"/>
    <w:rsid w:val="00745ED4"/>
    <w:rsid w:val="007718F6"/>
    <w:rsid w:val="00777425"/>
    <w:rsid w:val="00781639"/>
    <w:rsid w:val="007901E2"/>
    <w:rsid w:val="007947C9"/>
    <w:rsid w:val="007A17F7"/>
    <w:rsid w:val="007B1398"/>
    <w:rsid w:val="007C25FF"/>
    <w:rsid w:val="007D1542"/>
    <w:rsid w:val="007E31F5"/>
    <w:rsid w:val="007E5F7B"/>
    <w:rsid w:val="007F7C9F"/>
    <w:rsid w:val="007F7F4C"/>
    <w:rsid w:val="008005A0"/>
    <w:rsid w:val="008007AF"/>
    <w:rsid w:val="00805795"/>
    <w:rsid w:val="00810E24"/>
    <w:rsid w:val="00817E91"/>
    <w:rsid w:val="00823971"/>
    <w:rsid w:val="008463B7"/>
    <w:rsid w:val="00852019"/>
    <w:rsid w:val="00867388"/>
    <w:rsid w:val="00872D61"/>
    <w:rsid w:val="00885C6A"/>
    <w:rsid w:val="008A1933"/>
    <w:rsid w:val="008B0F2B"/>
    <w:rsid w:val="008B3421"/>
    <w:rsid w:val="008C1966"/>
    <w:rsid w:val="008C7FDE"/>
    <w:rsid w:val="008D1BA5"/>
    <w:rsid w:val="008D7879"/>
    <w:rsid w:val="008D7DCA"/>
    <w:rsid w:val="008E183C"/>
    <w:rsid w:val="008F681A"/>
    <w:rsid w:val="0090110E"/>
    <w:rsid w:val="009036F4"/>
    <w:rsid w:val="009415B9"/>
    <w:rsid w:val="0095178D"/>
    <w:rsid w:val="00966B62"/>
    <w:rsid w:val="00982A53"/>
    <w:rsid w:val="0099028E"/>
    <w:rsid w:val="009A0D3F"/>
    <w:rsid w:val="009A265B"/>
    <w:rsid w:val="009B20ED"/>
    <w:rsid w:val="009C281C"/>
    <w:rsid w:val="009D6492"/>
    <w:rsid w:val="009E52EF"/>
    <w:rsid w:val="009E7183"/>
    <w:rsid w:val="009F1FF1"/>
    <w:rsid w:val="009F54C2"/>
    <w:rsid w:val="009F7832"/>
    <w:rsid w:val="00A015A4"/>
    <w:rsid w:val="00A0298B"/>
    <w:rsid w:val="00A15CC9"/>
    <w:rsid w:val="00A24EF0"/>
    <w:rsid w:val="00A44BD7"/>
    <w:rsid w:val="00A45921"/>
    <w:rsid w:val="00A5642D"/>
    <w:rsid w:val="00A577B5"/>
    <w:rsid w:val="00A826EC"/>
    <w:rsid w:val="00A9222E"/>
    <w:rsid w:val="00A95185"/>
    <w:rsid w:val="00AB2719"/>
    <w:rsid w:val="00AD3485"/>
    <w:rsid w:val="00AE4F62"/>
    <w:rsid w:val="00AE769B"/>
    <w:rsid w:val="00AF6FF0"/>
    <w:rsid w:val="00B03924"/>
    <w:rsid w:val="00B047D5"/>
    <w:rsid w:val="00B07067"/>
    <w:rsid w:val="00B074AD"/>
    <w:rsid w:val="00B17F89"/>
    <w:rsid w:val="00B20CF2"/>
    <w:rsid w:val="00B2595D"/>
    <w:rsid w:val="00B361D9"/>
    <w:rsid w:val="00B368AE"/>
    <w:rsid w:val="00B52F64"/>
    <w:rsid w:val="00B714F0"/>
    <w:rsid w:val="00B96102"/>
    <w:rsid w:val="00BA1373"/>
    <w:rsid w:val="00BA56CF"/>
    <w:rsid w:val="00BA5848"/>
    <w:rsid w:val="00BB404F"/>
    <w:rsid w:val="00BC3FBE"/>
    <w:rsid w:val="00BE474C"/>
    <w:rsid w:val="00C022AF"/>
    <w:rsid w:val="00C06239"/>
    <w:rsid w:val="00C07575"/>
    <w:rsid w:val="00C25536"/>
    <w:rsid w:val="00C47C8B"/>
    <w:rsid w:val="00C544FC"/>
    <w:rsid w:val="00C810DA"/>
    <w:rsid w:val="00C8209B"/>
    <w:rsid w:val="00C87BD0"/>
    <w:rsid w:val="00C9434D"/>
    <w:rsid w:val="00CA0CFC"/>
    <w:rsid w:val="00CB7606"/>
    <w:rsid w:val="00CC4093"/>
    <w:rsid w:val="00CE1A33"/>
    <w:rsid w:val="00CE5A97"/>
    <w:rsid w:val="00D103FE"/>
    <w:rsid w:val="00D16BA0"/>
    <w:rsid w:val="00D22DDA"/>
    <w:rsid w:val="00D24323"/>
    <w:rsid w:val="00D33948"/>
    <w:rsid w:val="00D36280"/>
    <w:rsid w:val="00D505B1"/>
    <w:rsid w:val="00D6493D"/>
    <w:rsid w:val="00D738D7"/>
    <w:rsid w:val="00D92343"/>
    <w:rsid w:val="00DB30D3"/>
    <w:rsid w:val="00DC22F9"/>
    <w:rsid w:val="00DC36EB"/>
    <w:rsid w:val="00DD447C"/>
    <w:rsid w:val="00E03EEE"/>
    <w:rsid w:val="00E11705"/>
    <w:rsid w:val="00E20F9A"/>
    <w:rsid w:val="00E324D2"/>
    <w:rsid w:val="00E72F44"/>
    <w:rsid w:val="00E750ED"/>
    <w:rsid w:val="00E8187C"/>
    <w:rsid w:val="00EA51EA"/>
    <w:rsid w:val="00EA5223"/>
    <w:rsid w:val="00EC15CE"/>
    <w:rsid w:val="00EC4D5F"/>
    <w:rsid w:val="00EE2436"/>
    <w:rsid w:val="00EF708A"/>
    <w:rsid w:val="00F013B5"/>
    <w:rsid w:val="00F25CEC"/>
    <w:rsid w:val="00F264BB"/>
    <w:rsid w:val="00F44854"/>
    <w:rsid w:val="00F477B2"/>
    <w:rsid w:val="00F63336"/>
    <w:rsid w:val="00F73C45"/>
    <w:rsid w:val="00F81801"/>
    <w:rsid w:val="00F84F16"/>
    <w:rsid w:val="00F93152"/>
    <w:rsid w:val="00FA247C"/>
    <w:rsid w:val="00FA42D8"/>
    <w:rsid w:val="00FB1414"/>
    <w:rsid w:val="00FC50B2"/>
    <w:rsid w:val="00FD1834"/>
    <w:rsid w:val="00FD3B87"/>
    <w:rsid w:val="00FE0BFE"/>
    <w:rsid w:val="00FE5C1B"/>
    <w:rsid w:val="00FE6E24"/>
    <w:rsid w:val="00FF29F8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08CDAC8"/>
  <w15:docId w15:val="{528A1D19-86BC-4E46-B14A-E711FF14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3C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7E9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17E91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unhideWhenUsed/>
    <w:rsid w:val="00C25536"/>
    <w:rPr>
      <w:color w:val="0000FF"/>
      <w:u w:val="single"/>
    </w:rPr>
  </w:style>
  <w:style w:type="character" w:customStyle="1" w:styleId="descgray12">
    <w:name w:val="descgray12"/>
    <w:rsid w:val="00C25536"/>
  </w:style>
  <w:style w:type="character" w:customStyle="1" w:styleId="base">
    <w:name w:val="base"/>
    <w:rsid w:val="00C25536"/>
  </w:style>
  <w:style w:type="paragraph" w:styleId="z-TopofForm">
    <w:name w:val="HTML Top of Form"/>
    <w:basedOn w:val="Normal"/>
    <w:next w:val="Normal"/>
    <w:link w:val="z-TopofFormChar"/>
    <w:hidden/>
    <w:rsid w:val="00C2553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C2553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C2553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C25536"/>
    <w:rPr>
      <w:rFonts w:ascii="Arial" w:hAnsi="Arial" w:cs="Arial"/>
      <w:vanish/>
      <w:sz w:val="16"/>
      <w:szCs w:val="16"/>
    </w:rPr>
  </w:style>
  <w:style w:type="paragraph" w:customStyle="1" w:styleId="ColorfulList-Accent11">
    <w:name w:val="Colorful List - Accent 11"/>
    <w:basedOn w:val="Normal"/>
    <w:uiPriority w:val="99"/>
    <w:qFormat/>
    <w:rsid w:val="00172EF6"/>
    <w:pPr>
      <w:bidi w:val="0"/>
      <w:ind w:left="720"/>
      <w:contextualSpacing/>
    </w:pPr>
    <w:rPr>
      <w:rFonts w:eastAsia="MS Mincho" w:cs="MS Mincho"/>
      <w:lang w:eastAsia="ja-JP"/>
    </w:rPr>
  </w:style>
  <w:style w:type="paragraph" w:customStyle="1" w:styleId="body">
    <w:name w:val="body"/>
    <w:uiPriority w:val="99"/>
    <w:qFormat/>
    <w:rsid w:val="00781639"/>
    <w:pPr>
      <w:widowControl w:val="0"/>
      <w:autoSpaceDE w:val="0"/>
      <w:autoSpaceDN w:val="0"/>
      <w:adjustRightInd w:val="0"/>
      <w:spacing w:after="160"/>
      <w:jc w:val="both"/>
    </w:pPr>
    <w:rPr>
      <w:rFonts w:ascii="Verdana" w:hAnsi="Verdana"/>
      <w:sz w:val="16"/>
      <w:szCs w:val="18"/>
    </w:rPr>
  </w:style>
  <w:style w:type="paragraph" w:styleId="FootnoteText">
    <w:name w:val="footnote text"/>
    <w:basedOn w:val="Normal"/>
    <w:link w:val="FootnoteTextChar"/>
    <w:uiPriority w:val="99"/>
    <w:qFormat/>
    <w:rsid w:val="000B6F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0B6FF9"/>
  </w:style>
  <w:style w:type="character" w:styleId="FootnoteReference">
    <w:name w:val="footnote reference"/>
    <w:uiPriority w:val="99"/>
    <w:qFormat/>
    <w:rsid w:val="000B6FF9"/>
    <w:rPr>
      <w:vertAlign w:val="superscript"/>
    </w:rPr>
  </w:style>
  <w:style w:type="paragraph" w:styleId="ListParagraph">
    <w:name w:val="List Paragraph"/>
    <w:basedOn w:val="Normal"/>
    <w:uiPriority w:val="99"/>
    <w:qFormat/>
    <w:rsid w:val="00F84F16"/>
    <w:pPr>
      <w:ind w:left="720"/>
    </w:pPr>
  </w:style>
  <w:style w:type="paragraph" w:styleId="NormalWeb">
    <w:name w:val="Normal (Web)"/>
    <w:basedOn w:val="Normal"/>
    <w:uiPriority w:val="99"/>
    <w:unhideWhenUsed/>
    <w:rsid w:val="00FD1834"/>
    <w:pPr>
      <w:bidi w:val="0"/>
      <w:spacing w:before="100" w:beforeAutospacing="1" w:after="100" w:afterAutospacing="1"/>
    </w:pPr>
  </w:style>
  <w:style w:type="character" w:customStyle="1" w:styleId="ColorfulGrid-Accent1Char">
    <w:name w:val="Colorful Grid - Accent 1 Char"/>
    <w:uiPriority w:val="99"/>
    <w:qFormat/>
    <w:rsid w:val="009F54C2"/>
    <w:rPr>
      <w:i/>
      <w:color w:val="000000"/>
      <w:sz w:val="24"/>
    </w:rPr>
  </w:style>
  <w:style w:type="character" w:customStyle="1" w:styleId="fontstyle01">
    <w:name w:val="fontstyle01"/>
    <w:basedOn w:val="DefaultParagraphFont"/>
    <w:rsid w:val="008B3421"/>
    <w:rPr>
      <w:rFonts w:ascii="MinionPro-Regular" w:hAnsi="MinionPro-Regular" w:hint="default"/>
      <w:b w:val="0"/>
      <w:bCs w:val="0"/>
      <w:i w:val="0"/>
      <w:iCs w:val="0"/>
      <w:color w:val="242021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E6E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E6E2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C544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44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44F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4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44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1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19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2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1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0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48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50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38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4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79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5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7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11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47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76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2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95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3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6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40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49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90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9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53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2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5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62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4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4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6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03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20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46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9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8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92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46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404185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usinesswire.com/news/home/20171208005111/en/Synlogic-Ginkgo-Bioworks-Announce-Collaboration-Step-Build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echcrunch.com/2017/12/14/gingko-bioworks-secures-275-million-in-series-d-valuing-the-company-at-over-1-bill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binsights.com/research/microbiome-startups-market-map-company-list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761C4-A443-4F69-9AF9-D27CC7EE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Weizamnn Institute of Science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Chelina</dc:creator>
  <cp:lastModifiedBy>Jacob Orry Fierer</cp:lastModifiedBy>
  <cp:revision>49</cp:revision>
  <cp:lastPrinted>2017-12-31T13:39:00Z</cp:lastPrinted>
  <dcterms:created xsi:type="dcterms:W3CDTF">2018-01-29T07:20:00Z</dcterms:created>
  <dcterms:modified xsi:type="dcterms:W3CDTF">2018-12-05T08:54:00Z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http://www.zotero.org/styles/angewandte-chemie</vt:lpwstr>
  </property>
  <property fmtid="{D5CDD505-2E9C-101B-9397-08002B2CF9AE}" pid="5" name="Mendeley Recent Style Name 1_1">
    <vt:lpwstr>Angewandte Chemie International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http://www.zotero.org/styles/nature-communications</vt:lpwstr>
  </property>
  <property fmtid="{D5CDD505-2E9C-101B-9397-08002B2CF9AE}" pid="19" name="Mendeley Recent Style Name 8_1">
    <vt:lpwstr>Nature Communications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</Properties>
</file>