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B3C9" w14:textId="77777777" w:rsidR="0038382C" w:rsidRDefault="00365BC5" w:rsidP="0095694D">
      <w:pPr>
        <w:bidi w:val="0"/>
      </w:pPr>
      <w:r>
        <w:rPr>
          <w:rFonts w:ascii="Calibri" w:eastAsia="Calibri" w:hAnsi="Calibri" w:cs="Calibri"/>
          <w:b/>
          <w:sz w:val="36"/>
          <w:szCs w:val="36"/>
          <w:u w:val="single"/>
        </w:rPr>
        <w:t>Diet and gut microbiota dominate in explaining the human serum metabolome</w:t>
      </w:r>
    </w:p>
    <w:p w14:paraId="4DE2E316" w14:textId="77777777" w:rsidR="0038382C" w:rsidRDefault="00365BC5" w:rsidP="0095694D">
      <w:pPr>
        <w:bidi w:val="0"/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Principal Investigator: Prof. Eran Segal</w:t>
      </w:r>
    </w:p>
    <w:p w14:paraId="142E9E42" w14:textId="77777777" w:rsidR="0038382C" w:rsidRDefault="00365BC5" w:rsidP="0095694D">
      <w:pPr>
        <w:bidi w:val="0"/>
        <w:spacing w:after="60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Summary of the technology:</w:t>
      </w:r>
    </w:p>
    <w:p w14:paraId="5B7A0698" w14:textId="3DF2443B" w:rsidR="0038382C" w:rsidRDefault="00365BC5" w:rsidP="0095694D">
      <w:pPr>
        <w:bidi w:val="0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research group led by Prof. Eran Segal from the Weizmann Institute of Science (WIS) has sampled over 1000 serum metabolites from a cohort of 500 patients and devised a machine learning (ML) algorithm to predict their levels based on a comprehensive pro</w:t>
      </w:r>
      <w:r>
        <w:rPr>
          <w:rFonts w:ascii="Calibri" w:eastAsia="Calibri" w:hAnsi="Calibri" w:cs="Calibri"/>
          <w:sz w:val="22"/>
          <w:szCs w:val="22"/>
        </w:rPr>
        <w:t xml:space="preserve">file consisting of gut microbiome, clinical parameters, diet, lifestyle, anthropometric measurements and medication data. The team were able to obtain significant predictions for over 92% of the profiles metabolites with diet and microbiome explaining </w:t>
      </w:r>
      <w:r w:rsidR="00E81F49">
        <w:rPr>
          <w:rFonts w:ascii="Calibri" w:eastAsia="Calibri" w:hAnsi="Calibri" w:cs="Calibri"/>
          <w:sz w:val="22"/>
          <w:szCs w:val="22"/>
        </w:rPr>
        <w:t>hundreds</w:t>
      </w:r>
      <w:r>
        <w:rPr>
          <w:rFonts w:ascii="Calibri" w:eastAsia="Calibri" w:hAnsi="Calibri" w:cs="Calibri"/>
          <w:sz w:val="22"/>
          <w:szCs w:val="22"/>
        </w:rPr>
        <w:t xml:space="preserve"> of metabolites. Gut microbiome alone explains 64% of the variance of some of the metabolites.</w:t>
      </w:r>
    </w:p>
    <w:p w14:paraId="735BCD08" w14:textId="6520064F" w:rsidR="0038382C" w:rsidRDefault="00365BC5" w:rsidP="0095694D">
      <w:pPr>
        <w:bidi w:val="0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Additionally, the team uncovered a </w:t>
      </w:r>
      <w:r w:rsidR="00E81F49">
        <w:rPr>
          <w:rFonts w:ascii="Calibri" w:eastAsia="Calibri" w:hAnsi="Calibri" w:cs="Calibri"/>
          <w:sz w:val="22"/>
          <w:szCs w:val="22"/>
        </w:rPr>
        <w:t>dense network of interactions</w:t>
      </w:r>
      <w:r>
        <w:rPr>
          <w:rFonts w:ascii="Calibri" w:eastAsia="Calibri" w:hAnsi="Calibri" w:cs="Calibri"/>
          <w:sz w:val="22"/>
          <w:szCs w:val="22"/>
        </w:rPr>
        <w:t xml:space="preserve"> between diet, gut microbiome, drug intake, and lifestyle, explaining the levels of some meta</w:t>
      </w:r>
      <w:r>
        <w:rPr>
          <w:rFonts w:ascii="Calibri" w:eastAsia="Calibri" w:hAnsi="Calibri" w:cs="Calibri"/>
          <w:sz w:val="22"/>
          <w:szCs w:val="22"/>
        </w:rPr>
        <w:t>bolites.</w:t>
      </w:r>
    </w:p>
    <w:p w14:paraId="23D5A79D" w14:textId="77777777" w:rsidR="0038382C" w:rsidRDefault="00365BC5" w:rsidP="0095694D">
      <w:pPr>
        <w:bidi w:val="0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Lastly, the team were able to show that some of these interactions are casual, as some metabolites that were predicted to be positively associated with bread increased in level following a randomized clinical trial of bread intervention.</w:t>
      </w:r>
    </w:p>
    <w:p w14:paraId="568C07AD" w14:textId="77777777" w:rsidR="0038382C" w:rsidRDefault="00365BC5" w:rsidP="0095694D">
      <w:pPr>
        <w:bidi w:val="0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techn</w:t>
      </w:r>
      <w:r>
        <w:rPr>
          <w:rFonts w:ascii="Calibri" w:eastAsia="Calibri" w:hAnsi="Calibri" w:cs="Calibri"/>
          <w:sz w:val="22"/>
          <w:szCs w:val="22"/>
        </w:rPr>
        <w:t>ology can pave the way towards mechanistic understanding of the alterations in metabolites under different conditions and to designing interventions for manipulating metabolite levels.</w:t>
      </w:r>
    </w:p>
    <w:p w14:paraId="550F694A" w14:textId="77777777" w:rsidR="0038382C" w:rsidRDefault="0038382C" w:rsidP="0095694D">
      <w:pPr>
        <w:bidi w:val="0"/>
        <w:spacing w:after="60"/>
        <w:rPr>
          <w:rFonts w:ascii="Calibri" w:eastAsia="Calibri" w:hAnsi="Calibri" w:cs="Calibri"/>
          <w:sz w:val="22"/>
          <w:szCs w:val="22"/>
        </w:rPr>
      </w:pPr>
    </w:p>
    <w:p w14:paraId="4B4715DF" w14:textId="77777777" w:rsidR="0038382C" w:rsidRDefault="00365BC5" w:rsidP="0095694D">
      <w:pPr>
        <w:bidi w:val="0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Applications:</w:t>
      </w:r>
    </w:p>
    <w:p w14:paraId="011EEBA0" w14:textId="77777777" w:rsidR="0038382C" w:rsidRDefault="00365BC5" w:rsidP="0095694D">
      <w:pPr>
        <w:numPr>
          <w:ilvl w:val="0"/>
          <w:numId w:val="2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Diagnostics - using the database and ML algorithms drug </w:t>
      </w:r>
      <w:r>
        <w:rPr>
          <w:rFonts w:ascii="Calibri" w:eastAsia="Calibri" w:hAnsi="Calibri" w:cs="Calibri"/>
          <w:sz w:val="22"/>
          <w:szCs w:val="22"/>
        </w:rPr>
        <w:t>companies could better predict the potential effect of different drugs (e.g. maybe we can use this data to predict the effect of certain drugs before the trial begins)</w:t>
      </w:r>
    </w:p>
    <w:p w14:paraId="1A4203E9" w14:textId="22A0DC3D" w:rsidR="0038382C" w:rsidRDefault="00365BC5" w:rsidP="0095694D">
      <w:pPr>
        <w:numPr>
          <w:ilvl w:val="1"/>
          <w:numId w:val="2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Alternatively, </w:t>
      </w:r>
      <w:r w:rsidR="00E81F49">
        <w:rPr>
          <w:rFonts w:ascii="Calibri" w:eastAsia="Calibri" w:hAnsi="Calibri" w:cs="Calibri"/>
          <w:sz w:val="22"/>
          <w:szCs w:val="22"/>
        </w:rPr>
        <w:t>some</w:t>
      </w:r>
      <w:r>
        <w:rPr>
          <w:rFonts w:ascii="Calibri" w:eastAsia="Calibri" w:hAnsi="Calibri" w:cs="Calibri"/>
          <w:sz w:val="22"/>
          <w:szCs w:val="22"/>
        </w:rPr>
        <w:t xml:space="preserve"> drugs can be converted to harmful secondary metabolites by the gut m</w:t>
      </w:r>
      <w:r>
        <w:rPr>
          <w:rFonts w:ascii="Calibri" w:eastAsia="Calibri" w:hAnsi="Calibri" w:cs="Calibri"/>
          <w:sz w:val="22"/>
          <w:szCs w:val="22"/>
        </w:rPr>
        <w:t xml:space="preserve">icrobiome. These metabolites can perhaps also be predicted by  </w:t>
      </w:r>
    </w:p>
    <w:p w14:paraId="719CD09E" w14:textId="77777777" w:rsidR="0038382C" w:rsidRDefault="00365BC5" w:rsidP="0095694D">
      <w:pPr>
        <w:numPr>
          <w:ilvl w:val="0"/>
          <w:numId w:val="2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Treatment - In a similar vein to the previous idea - treatment can be better adjusted based on a subject’s profile (microbiome, diet, etc.) to achieve better efficacy (for example they report </w:t>
      </w:r>
      <w:r>
        <w:rPr>
          <w:rFonts w:ascii="Calibri" w:eastAsia="Calibri" w:hAnsi="Calibri" w:cs="Calibri"/>
          <w:sz w:val="22"/>
          <w:szCs w:val="22"/>
        </w:rPr>
        <w:t xml:space="preserve">in the paper that some patients had low serotonin levels despite taking SSRI’s. A patient’s microbiome population could be taken into account when prescribing the correct SSRI or dosage. </w:t>
      </w:r>
    </w:p>
    <w:p w14:paraId="27FC33F9" w14:textId="51D86F27" w:rsidR="0038382C" w:rsidRDefault="00365BC5" w:rsidP="0095694D">
      <w:pPr>
        <w:numPr>
          <w:ilvl w:val="0"/>
          <w:numId w:val="2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Service </w:t>
      </w:r>
      <w:r w:rsidR="00E81F49">
        <w:rPr>
          <w:rFonts w:ascii="Calibri" w:eastAsia="Calibri" w:hAnsi="Calibri" w:cs="Calibri"/>
          <w:sz w:val="22"/>
          <w:szCs w:val="22"/>
        </w:rPr>
        <w:t>based -</w:t>
      </w:r>
      <w:r>
        <w:rPr>
          <w:rFonts w:ascii="Calibri" w:eastAsia="Calibri" w:hAnsi="Calibri" w:cs="Calibri"/>
          <w:sz w:val="22"/>
          <w:szCs w:val="22"/>
        </w:rPr>
        <w:t xml:space="preserve"> health service providers can use this data and algo</w:t>
      </w:r>
      <w:r>
        <w:rPr>
          <w:rFonts w:ascii="Calibri" w:eastAsia="Calibri" w:hAnsi="Calibri" w:cs="Calibri"/>
          <w:sz w:val="22"/>
          <w:szCs w:val="22"/>
        </w:rPr>
        <w:t xml:space="preserve">rithms to supply an advisory service to their clients. For </w:t>
      </w:r>
      <w:r w:rsidR="00E81F49">
        <w:rPr>
          <w:rFonts w:ascii="Calibri" w:eastAsia="Calibri" w:hAnsi="Calibri" w:cs="Calibri"/>
          <w:sz w:val="22"/>
          <w:szCs w:val="22"/>
        </w:rPr>
        <w:t>example,</w:t>
      </w:r>
      <w:r>
        <w:rPr>
          <w:rFonts w:ascii="Calibri" w:eastAsia="Calibri" w:hAnsi="Calibri" w:cs="Calibri"/>
          <w:sz w:val="22"/>
          <w:szCs w:val="22"/>
        </w:rPr>
        <w:t xml:space="preserve"> if a patient has high cholesterol, rather than prescribing statins, a health service provider can use this data to suggest other lifestyle changes that might be just as effective.</w:t>
      </w:r>
    </w:p>
    <w:p w14:paraId="1162AF5A" w14:textId="77777777" w:rsidR="0038382C" w:rsidRDefault="0038382C" w:rsidP="0095694D">
      <w:pPr>
        <w:bidi w:val="0"/>
        <w:ind w:left="720"/>
        <w:rPr>
          <w:rFonts w:ascii="Calibri" w:eastAsia="Calibri" w:hAnsi="Calibri" w:cs="Calibri"/>
          <w:sz w:val="22"/>
          <w:szCs w:val="22"/>
        </w:rPr>
      </w:pPr>
    </w:p>
    <w:p w14:paraId="11EDC5A6" w14:textId="77777777" w:rsidR="0038382C" w:rsidRDefault="0038382C" w:rsidP="0095694D">
      <w:pPr>
        <w:bidi w:val="0"/>
        <w:rPr>
          <w:rFonts w:ascii="Calibri" w:eastAsia="Calibri" w:hAnsi="Calibri" w:cs="Calibri"/>
          <w:sz w:val="22"/>
          <w:szCs w:val="22"/>
        </w:rPr>
      </w:pPr>
    </w:p>
    <w:p w14:paraId="69C41C63" w14:textId="772D0108" w:rsidR="0038382C" w:rsidRDefault="00365BC5" w:rsidP="0095694D">
      <w:p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Potenti</w:t>
      </w:r>
      <w:r>
        <w:rPr>
          <w:rFonts w:ascii="Calibri" w:eastAsia="Calibri" w:hAnsi="Calibri" w:cs="Calibri"/>
          <w:sz w:val="22"/>
          <w:szCs w:val="22"/>
          <w:u w:val="single"/>
        </w:rPr>
        <w:t>al Investors (all have invested in microbiome companies</w:t>
      </w:r>
      <w:r w:rsidR="00E81F49">
        <w:rPr>
          <w:rFonts w:ascii="Calibri" w:eastAsia="Calibri" w:hAnsi="Calibri" w:cs="Calibri"/>
          <w:sz w:val="22"/>
          <w:szCs w:val="22"/>
          <w:u w:val="single"/>
        </w:rPr>
        <w:t>)</w:t>
      </w:r>
      <w:r>
        <w:rPr>
          <w:rFonts w:ascii="Calibri" w:eastAsia="Calibri" w:hAnsi="Calibri" w:cs="Calibri"/>
          <w:sz w:val="22"/>
          <w:szCs w:val="22"/>
          <w:u w:val="single"/>
        </w:rPr>
        <w:t>:</w:t>
      </w:r>
    </w:p>
    <w:p w14:paraId="2381ECD1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Pfizer R&amp;D Innovate </w:t>
      </w:r>
    </w:p>
    <w:p w14:paraId="4A66C227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Genesys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Capital</w:t>
      </w:r>
    </w:p>
    <w:p w14:paraId="63331CCB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Innovate U.K. </w:t>
      </w:r>
    </w:p>
    <w:p w14:paraId="3AE494A7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Microbiologics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6E279CA3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Gopher Angels </w:t>
      </w:r>
    </w:p>
    <w:p w14:paraId="00B10E7B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Johnson &amp; Johnson</w:t>
      </w:r>
    </w:p>
    <w:p w14:paraId="23854280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Century Partners</w:t>
      </w:r>
    </w:p>
    <w:p w14:paraId="4A54FCB8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Lundbeckfond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Ventures</w:t>
      </w:r>
    </w:p>
    <w:p w14:paraId="39700A7B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Nestle Health Science</w:t>
      </w:r>
    </w:p>
    <w:p w14:paraId="1A4ED492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Omnes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Capital </w:t>
      </w:r>
    </w:p>
    <w:p w14:paraId="5D3DAE3E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Mayo Clinic Ventures</w:t>
      </w:r>
    </w:p>
    <w:p w14:paraId="22526C1F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Google Ventures </w:t>
      </w:r>
    </w:p>
    <w:p w14:paraId="4F0AB4CE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Celgene </w:t>
      </w:r>
    </w:p>
    <w:p w14:paraId="68C730FA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Spruce Capital Partners</w:t>
      </w:r>
    </w:p>
    <w:p w14:paraId="3CAEE779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Tate &amp; Lyle Ventures</w:t>
      </w:r>
    </w:p>
    <w:p w14:paraId="1CF2E214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Horizons Ventures</w:t>
      </w:r>
    </w:p>
    <w:p w14:paraId="2CD7D9EE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Morgan Noble</w:t>
      </w:r>
    </w:p>
    <w:p w14:paraId="6FD04FEE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Avenir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Growth Capital</w:t>
      </w:r>
    </w:p>
    <w:p w14:paraId="259760D0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Willet Advisors LLC </w:t>
      </w:r>
    </w:p>
    <w:p w14:paraId="3B69CF13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Shumway Capital</w:t>
      </w:r>
    </w:p>
    <w:p w14:paraId="6539D8A1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Bill Gates </w:t>
      </w:r>
    </w:p>
    <w:p w14:paraId="77387253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Polaris Partners</w:t>
      </w:r>
    </w:p>
    <w:p w14:paraId="4B86D230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Lux Capital</w:t>
      </w:r>
    </w:p>
    <w:p w14:paraId="0E3A54FB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Two Sigma Ventures</w:t>
      </w:r>
    </w:p>
    <w:p w14:paraId="6EDAD6FB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Column Group </w:t>
      </w:r>
    </w:p>
    <w:p w14:paraId="5C76450E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Essex Woodlands Health Ventures</w:t>
      </w:r>
    </w:p>
    <w:p w14:paraId="40441D40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Zehnder Communications</w:t>
      </w:r>
    </w:p>
    <w:p w14:paraId="10230110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NO/LA Angel Network</w:t>
      </w:r>
    </w:p>
    <w:p w14:paraId="29EC6A00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IP Group PLC </w:t>
      </w:r>
    </w:p>
    <w:p w14:paraId="6DAB5BC3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SR One </w:t>
      </w:r>
    </w:p>
    <w:p w14:paraId="61EC38E8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Morgenthaler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Ventures</w:t>
      </w:r>
    </w:p>
    <w:p w14:paraId="3E4FF9DE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Pfizer Venture Investments </w:t>
      </w:r>
    </w:p>
    <w:p w14:paraId="1D318E78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Advanced Technology Ventures</w:t>
      </w:r>
    </w:p>
    <w:p w14:paraId="11335CC0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Seraph Group</w:t>
      </w:r>
    </w:p>
    <w:p w14:paraId="7A79EC57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Digitalis Ventures</w:t>
      </w:r>
    </w:p>
    <w:p w14:paraId="326CC775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MBL Venture Capital</w:t>
      </w:r>
    </w:p>
    <w:p w14:paraId="122CA51B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Adveq</w:t>
      </w:r>
      <w:proofErr w:type="spellEnd"/>
    </w:p>
    <w:p w14:paraId="55C6A8DE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Merck &amp; Co., Inc.</w:t>
      </w:r>
    </w:p>
    <w:p w14:paraId="41491EFF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Terra Accelerator </w:t>
      </w:r>
    </w:p>
    <w:p w14:paraId="2D36E804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SOSV </w:t>
      </w:r>
    </w:p>
    <w:p w14:paraId="2E6FB0F4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Indie Bio</w:t>
      </w:r>
    </w:p>
    <w:p w14:paraId="0DE44FC5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Kairos Venture Investments </w:t>
      </w:r>
    </w:p>
    <w:p w14:paraId="0AD4E4DA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NCI</w:t>
      </w:r>
    </w:p>
    <w:p w14:paraId="245C4016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Zaluvida</w:t>
      </w:r>
      <w:proofErr w:type="spellEnd"/>
    </w:p>
    <w:p w14:paraId="02134B03" w14:textId="77777777" w:rsidR="0038382C" w:rsidRDefault="00365BC5" w:rsidP="0095694D">
      <w:pPr>
        <w:numPr>
          <w:ilvl w:val="0"/>
          <w:numId w:val="3"/>
        </w:numPr>
        <w:bidi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seventure</w:t>
      </w:r>
      <w:proofErr w:type="spellEnd"/>
    </w:p>
    <w:p w14:paraId="39315C5A" w14:textId="77777777" w:rsidR="0038382C" w:rsidRDefault="0038382C" w:rsidP="0095694D">
      <w:pPr>
        <w:bidi w:val="0"/>
        <w:rPr>
          <w:rFonts w:ascii="Calibri" w:eastAsia="Calibri" w:hAnsi="Calibri" w:cs="Calibri"/>
          <w:sz w:val="22"/>
          <w:szCs w:val="22"/>
        </w:rPr>
      </w:pPr>
    </w:p>
    <w:p w14:paraId="35B0AD42" w14:textId="77777777" w:rsidR="0038382C" w:rsidRPr="00E81F49" w:rsidRDefault="00365BC5" w:rsidP="0095694D">
      <w:pPr>
        <w:bidi w:val="0"/>
        <w:rPr>
          <w:rFonts w:asciiTheme="majorHAnsi" w:eastAsia="Calibri" w:hAnsiTheme="majorHAnsi" w:cstheme="majorHAnsi"/>
          <w:sz w:val="22"/>
          <w:szCs w:val="22"/>
        </w:rPr>
      </w:pPr>
      <w:r w:rsidRPr="00E81F49">
        <w:rPr>
          <w:rFonts w:asciiTheme="majorHAnsi" w:eastAsia="Calibri" w:hAnsiTheme="majorHAnsi" w:cstheme="majorHAnsi"/>
          <w:sz w:val="22"/>
          <w:szCs w:val="22"/>
          <w:u w:val="single"/>
        </w:rPr>
        <w:t xml:space="preserve">Potential Companies That Would Be Interested </w:t>
      </w:r>
      <w:proofErr w:type="gramStart"/>
      <w:r w:rsidRPr="00E81F49">
        <w:rPr>
          <w:rFonts w:asciiTheme="majorHAnsi" w:eastAsia="Calibri" w:hAnsiTheme="majorHAnsi" w:cstheme="majorHAnsi"/>
          <w:sz w:val="22"/>
          <w:szCs w:val="22"/>
          <w:u w:val="single"/>
        </w:rPr>
        <w:t>In</w:t>
      </w:r>
      <w:proofErr w:type="gramEnd"/>
      <w:r w:rsidRPr="00E81F49">
        <w:rPr>
          <w:rFonts w:asciiTheme="majorHAnsi" w:eastAsia="Calibri" w:hAnsiTheme="majorHAnsi" w:cstheme="majorHAnsi"/>
          <w:sz w:val="22"/>
          <w:szCs w:val="22"/>
          <w:u w:val="single"/>
        </w:rPr>
        <w:t xml:space="preserve"> The Technology Or Collaboration:</w:t>
      </w:r>
    </w:p>
    <w:p w14:paraId="55F38F2C" w14:textId="77777777" w:rsidR="0038382C" w:rsidRPr="00E81F49" w:rsidRDefault="0038382C" w:rsidP="0095694D">
      <w:pPr>
        <w:bidi w:val="0"/>
        <w:rPr>
          <w:rFonts w:asciiTheme="majorHAnsi" w:hAnsiTheme="majorHAnsi" w:cstheme="majorHAnsi"/>
          <w:sz w:val="22"/>
          <w:szCs w:val="22"/>
        </w:rPr>
      </w:pPr>
    </w:p>
    <w:p w14:paraId="7BC86EC9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81F49">
        <w:rPr>
          <w:rFonts w:asciiTheme="majorHAnsi" w:hAnsiTheme="majorHAnsi" w:cstheme="majorHAnsi"/>
          <w:sz w:val="22"/>
          <w:szCs w:val="22"/>
        </w:rPr>
        <w:t>Enterome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- development o</w:t>
      </w:r>
      <w:r w:rsidRPr="00E81F49">
        <w:rPr>
          <w:rFonts w:asciiTheme="majorHAnsi" w:hAnsiTheme="majorHAnsi" w:cstheme="majorHAnsi"/>
          <w:sz w:val="22"/>
          <w:szCs w:val="22"/>
        </w:rPr>
        <w:t>f gut microbiome based immuno-therapeutics</w:t>
      </w:r>
    </w:p>
    <w:p w14:paraId="534F131F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E81F49">
        <w:rPr>
          <w:rFonts w:asciiTheme="majorHAnsi" w:hAnsiTheme="majorHAnsi" w:cstheme="majorHAnsi"/>
          <w:sz w:val="22"/>
          <w:szCs w:val="22"/>
        </w:rPr>
        <w:t xml:space="preserve">Evolve </w:t>
      </w:r>
      <w:proofErr w:type="spellStart"/>
      <w:r w:rsidRPr="00E81F49">
        <w:rPr>
          <w:rFonts w:asciiTheme="majorHAnsi" w:hAnsiTheme="majorHAnsi" w:cstheme="majorHAnsi"/>
          <w:sz w:val="22"/>
          <w:szCs w:val="22"/>
        </w:rPr>
        <w:t>BioSystems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-a microbiome-based approach to solving newborn gut dysbiosis.</w:t>
      </w:r>
    </w:p>
    <w:p w14:paraId="1B9D8114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E81F49">
        <w:rPr>
          <w:rFonts w:asciiTheme="majorHAnsi" w:hAnsiTheme="majorHAnsi" w:cstheme="majorHAnsi"/>
          <w:sz w:val="22"/>
          <w:szCs w:val="22"/>
        </w:rPr>
        <w:t xml:space="preserve">Finch </w:t>
      </w:r>
      <w:proofErr w:type="gramStart"/>
      <w:r w:rsidRPr="00E81F49">
        <w:rPr>
          <w:rFonts w:asciiTheme="majorHAnsi" w:hAnsiTheme="majorHAnsi" w:cstheme="majorHAnsi"/>
          <w:sz w:val="22"/>
          <w:szCs w:val="22"/>
        </w:rPr>
        <w:t>Therapeutics  -</w:t>
      </w:r>
      <w:proofErr w:type="gramEnd"/>
      <w:r w:rsidRPr="00E81F49">
        <w:rPr>
          <w:rFonts w:asciiTheme="majorHAnsi" w:hAnsiTheme="majorHAnsi" w:cstheme="majorHAnsi"/>
          <w:sz w:val="22"/>
          <w:szCs w:val="22"/>
        </w:rPr>
        <w:t xml:space="preserve"> fecal and oral transplant therapeutics </w:t>
      </w:r>
    </w:p>
    <w:p w14:paraId="046D9690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81F49">
        <w:rPr>
          <w:rFonts w:asciiTheme="majorHAnsi" w:hAnsiTheme="majorHAnsi" w:cstheme="majorHAnsi"/>
          <w:sz w:val="22"/>
          <w:szCs w:val="22"/>
        </w:rPr>
        <w:t>Adapsyn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Bioscience - combines genomic and metabolomic data with artifi</w:t>
      </w:r>
      <w:r w:rsidRPr="00E81F49">
        <w:rPr>
          <w:rFonts w:asciiTheme="majorHAnsi" w:hAnsiTheme="majorHAnsi" w:cstheme="majorHAnsi"/>
          <w:sz w:val="22"/>
          <w:szCs w:val="22"/>
        </w:rPr>
        <w:t>cial intelligence and machine-learning to identify novel, mechanistically diverse evolved small molecules from human and environmental microbiomes.</w:t>
      </w:r>
    </w:p>
    <w:p w14:paraId="7B35D1EC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E81F49">
        <w:rPr>
          <w:rFonts w:asciiTheme="majorHAnsi" w:hAnsiTheme="majorHAnsi" w:cstheme="majorHAnsi"/>
          <w:sz w:val="22"/>
          <w:szCs w:val="22"/>
        </w:rPr>
        <w:t>CHAIN Biotechnology - CHAIN Biotechnology develops Clostridium-based live biotherapeutic products for chroni</w:t>
      </w:r>
      <w:r w:rsidRPr="00E81F49">
        <w:rPr>
          <w:rFonts w:asciiTheme="majorHAnsi" w:hAnsiTheme="majorHAnsi" w:cstheme="majorHAnsi"/>
          <w:sz w:val="22"/>
          <w:szCs w:val="22"/>
        </w:rPr>
        <w:t>c gut-related diseases.</w:t>
      </w:r>
    </w:p>
    <w:p w14:paraId="5AC3531A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81F49">
        <w:rPr>
          <w:rFonts w:asciiTheme="majorHAnsi" w:hAnsiTheme="majorHAnsi" w:cstheme="majorHAnsi"/>
          <w:sz w:val="22"/>
          <w:szCs w:val="22"/>
        </w:rPr>
        <w:lastRenderedPageBreak/>
        <w:t>ClostraBio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- Discovering and developing new therapeutics that modulate the protective ability of the microbiome.</w:t>
      </w:r>
    </w:p>
    <w:p w14:paraId="1257FCC4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81F49">
        <w:rPr>
          <w:rFonts w:asciiTheme="majorHAnsi" w:hAnsiTheme="majorHAnsi" w:cstheme="majorHAnsi"/>
          <w:sz w:val="22"/>
          <w:szCs w:val="22"/>
        </w:rPr>
        <w:t>CoreBiome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- B2B- offers microbiome analysis using genomics and informatics. help customers design studies, collect samp</w:t>
      </w:r>
      <w:r w:rsidRPr="00E81F49">
        <w:rPr>
          <w:rFonts w:asciiTheme="majorHAnsi" w:hAnsiTheme="majorHAnsi" w:cstheme="majorHAnsi"/>
          <w:sz w:val="22"/>
          <w:szCs w:val="22"/>
        </w:rPr>
        <w:t>les, generate sequencing data, and analyze data using machine learning.</w:t>
      </w:r>
    </w:p>
    <w:p w14:paraId="5488A965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81F49">
        <w:rPr>
          <w:rFonts w:asciiTheme="majorHAnsi" w:hAnsiTheme="majorHAnsi" w:cstheme="majorHAnsi"/>
          <w:sz w:val="22"/>
          <w:szCs w:val="22"/>
        </w:rPr>
        <w:t>Kallyope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- focus on metabolic and CNS disorders. The platform has relevance for disease areas linked to the gut and gut-brain axis.</w:t>
      </w:r>
    </w:p>
    <w:p w14:paraId="19D75864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E81F49">
        <w:rPr>
          <w:rFonts w:asciiTheme="majorHAnsi" w:hAnsiTheme="majorHAnsi" w:cstheme="majorHAnsi"/>
          <w:sz w:val="22"/>
          <w:szCs w:val="22"/>
        </w:rPr>
        <w:t>Microbiome Therapeutics -Make microbiome modulators</w:t>
      </w:r>
    </w:p>
    <w:p w14:paraId="7566BFDA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81F49">
        <w:rPr>
          <w:rFonts w:asciiTheme="majorHAnsi" w:hAnsiTheme="majorHAnsi" w:cstheme="majorHAnsi"/>
          <w:sz w:val="22"/>
          <w:szCs w:val="22"/>
        </w:rPr>
        <w:t>Microbiotica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- Developing medicines and biomarkers based on microbiota</w:t>
      </w:r>
    </w:p>
    <w:p w14:paraId="01DB1200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E81F49">
        <w:rPr>
          <w:rFonts w:asciiTheme="majorHAnsi" w:hAnsiTheme="majorHAnsi" w:cstheme="majorHAnsi"/>
          <w:sz w:val="22"/>
          <w:szCs w:val="22"/>
        </w:rPr>
        <w:t>Second Genome - focusing on disease causi</w:t>
      </w:r>
      <w:bookmarkStart w:id="0" w:name="_GoBack"/>
      <w:bookmarkEnd w:id="0"/>
      <w:r w:rsidRPr="00E81F49">
        <w:rPr>
          <w:rFonts w:asciiTheme="majorHAnsi" w:hAnsiTheme="majorHAnsi" w:cstheme="majorHAnsi"/>
          <w:sz w:val="22"/>
          <w:szCs w:val="22"/>
        </w:rPr>
        <w:t>ng gut bacteria</w:t>
      </w:r>
    </w:p>
    <w:p w14:paraId="4C4E2A98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81F49">
        <w:rPr>
          <w:rFonts w:asciiTheme="majorHAnsi" w:hAnsiTheme="majorHAnsi" w:cstheme="majorHAnsi"/>
          <w:sz w:val="22"/>
          <w:szCs w:val="22"/>
        </w:rPr>
        <w:t>Sugarlogix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- make complex sugars with prebiotic functions. These sugars are not energy sources for the human body; instead, they</w:t>
      </w:r>
      <w:r w:rsidRPr="00E81F49">
        <w:rPr>
          <w:rFonts w:asciiTheme="majorHAnsi" w:hAnsiTheme="majorHAnsi" w:cstheme="majorHAnsi"/>
          <w:sz w:val="22"/>
          <w:szCs w:val="22"/>
        </w:rPr>
        <w:t xml:space="preserve"> selectively feed the beneficial bacteria living inside the human gut.</w:t>
      </w:r>
    </w:p>
    <w:p w14:paraId="6DC4E395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81F49">
        <w:rPr>
          <w:rFonts w:asciiTheme="majorHAnsi" w:hAnsiTheme="majorHAnsi" w:cstheme="majorHAnsi"/>
          <w:sz w:val="22"/>
          <w:szCs w:val="22"/>
        </w:rPr>
        <w:t>Symbiotix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Biotherapies - developing molecular therapeutics based on molecules derived from the human microbiome</w:t>
      </w:r>
    </w:p>
    <w:p w14:paraId="355BBE38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81F49">
        <w:rPr>
          <w:rFonts w:asciiTheme="majorHAnsi" w:hAnsiTheme="majorHAnsi" w:cstheme="majorHAnsi"/>
          <w:sz w:val="22"/>
          <w:szCs w:val="22"/>
        </w:rPr>
        <w:t>TargEDys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E81F49">
        <w:rPr>
          <w:rFonts w:asciiTheme="majorHAnsi" w:hAnsiTheme="majorHAnsi" w:cstheme="majorHAnsi"/>
          <w:sz w:val="22"/>
          <w:szCs w:val="22"/>
        </w:rPr>
        <w:t>-  Appetite</w:t>
      </w:r>
      <w:proofErr w:type="gramEnd"/>
      <w:r w:rsidRPr="00E81F49">
        <w:rPr>
          <w:rFonts w:asciiTheme="majorHAnsi" w:hAnsiTheme="majorHAnsi" w:cstheme="majorHAnsi"/>
          <w:sz w:val="22"/>
          <w:szCs w:val="22"/>
        </w:rPr>
        <w:t xml:space="preserve"> regulation involving bacterial, hormonal mimetic, pr</w:t>
      </w:r>
      <w:r w:rsidRPr="00E81F49">
        <w:rPr>
          <w:rFonts w:asciiTheme="majorHAnsi" w:hAnsiTheme="majorHAnsi" w:cstheme="majorHAnsi"/>
          <w:sz w:val="22"/>
          <w:szCs w:val="22"/>
        </w:rPr>
        <w:t>oteins that are found naturally in the gut microbiome</w:t>
      </w:r>
    </w:p>
    <w:p w14:paraId="1B9D442F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E81F49">
        <w:rPr>
          <w:rFonts w:asciiTheme="majorHAnsi" w:hAnsiTheme="majorHAnsi" w:cstheme="majorHAnsi"/>
          <w:sz w:val="22"/>
          <w:szCs w:val="22"/>
        </w:rPr>
        <w:t>uBiome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- Sequencing gut-microbiome to identify pathogenic bacteria</w:t>
      </w:r>
    </w:p>
    <w:p w14:paraId="7B4D90BE" w14:textId="77777777" w:rsidR="0038382C" w:rsidRPr="00E81F49" w:rsidRDefault="00365BC5" w:rsidP="0095694D">
      <w:pPr>
        <w:numPr>
          <w:ilvl w:val="0"/>
          <w:numId w:val="1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E81F49">
        <w:rPr>
          <w:rFonts w:asciiTheme="majorHAnsi" w:hAnsiTheme="majorHAnsi" w:cstheme="majorHAnsi"/>
          <w:sz w:val="22"/>
          <w:szCs w:val="22"/>
        </w:rPr>
        <w:t xml:space="preserve">Vedanta </w:t>
      </w:r>
      <w:proofErr w:type="gramStart"/>
      <w:r w:rsidRPr="00E81F49">
        <w:rPr>
          <w:rFonts w:asciiTheme="majorHAnsi" w:hAnsiTheme="majorHAnsi" w:cstheme="majorHAnsi"/>
          <w:sz w:val="22"/>
          <w:szCs w:val="22"/>
        </w:rPr>
        <w:t>Biosciences  -</w:t>
      </w:r>
      <w:proofErr w:type="gramEnd"/>
      <w:r w:rsidRPr="00E81F49">
        <w:rPr>
          <w:rFonts w:asciiTheme="majorHAnsi" w:hAnsiTheme="majorHAnsi" w:cstheme="majorHAnsi"/>
          <w:sz w:val="22"/>
          <w:szCs w:val="22"/>
        </w:rPr>
        <w:t xml:space="preserve"> Producing drugs that can </w:t>
      </w:r>
      <w:proofErr w:type="spellStart"/>
      <w:r w:rsidRPr="00E81F49">
        <w:rPr>
          <w:rFonts w:asciiTheme="majorHAnsi" w:hAnsiTheme="majorHAnsi" w:cstheme="majorHAnsi"/>
          <w:sz w:val="22"/>
          <w:szCs w:val="22"/>
        </w:rPr>
        <w:t>modulte</w:t>
      </w:r>
      <w:proofErr w:type="spellEnd"/>
      <w:r w:rsidRPr="00E81F49">
        <w:rPr>
          <w:rFonts w:asciiTheme="majorHAnsi" w:hAnsiTheme="majorHAnsi" w:cstheme="majorHAnsi"/>
          <w:sz w:val="22"/>
          <w:szCs w:val="22"/>
        </w:rPr>
        <w:t xml:space="preserve"> gut bacteria in order to achieve a positive effect on the subjects health.</w:t>
      </w:r>
    </w:p>
    <w:p w14:paraId="69B6C8C6" w14:textId="77777777" w:rsidR="0038382C" w:rsidRDefault="0038382C" w:rsidP="0095694D">
      <w:pPr>
        <w:bidi w:val="0"/>
        <w:ind w:left="720"/>
      </w:pPr>
    </w:p>
    <w:sectPr w:rsidR="0038382C">
      <w:headerReference w:type="default" r:id="rId7"/>
      <w:footerReference w:type="default" r:id="rId8"/>
      <w:pgSz w:w="11906" w:h="16838"/>
      <w:pgMar w:top="2430" w:right="1800" w:bottom="1440" w:left="1800" w:header="708" w:footer="708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B9AD8" w14:textId="77777777" w:rsidR="00365BC5" w:rsidRDefault="00365BC5">
      <w:r>
        <w:separator/>
      </w:r>
    </w:p>
  </w:endnote>
  <w:endnote w:type="continuationSeparator" w:id="0">
    <w:p w14:paraId="5963CF6A" w14:textId="77777777" w:rsidR="00365BC5" w:rsidRDefault="0036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34C3" w14:textId="77777777" w:rsidR="0038382C" w:rsidRDefault="0038382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C494C" w14:textId="77777777" w:rsidR="00365BC5" w:rsidRDefault="00365BC5">
      <w:r>
        <w:separator/>
      </w:r>
    </w:p>
  </w:footnote>
  <w:footnote w:type="continuationSeparator" w:id="0">
    <w:p w14:paraId="076253CC" w14:textId="77777777" w:rsidR="00365BC5" w:rsidRDefault="00365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363D9" w14:textId="77777777" w:rsidR="0038382C" w:rsidRDefault="00365BC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7D90EAB" wp14:editId="4D14780F">
          <wp:simplePos x="0" y="0"/>
          <wp:positionH relativeFrom="column">
            <wp:posOffset>-20954</wp:posOffset>
          </wp:positionH>
          <wp:positionV relativeFrom="paragraph">
            <wp:posOffset>0</wp:posOffset>
          </wp:positionV>
          <wp:extent cx="4587240" cy="764540"/>
          <wp:effectExtent l="0" t="0" r="0" b="0"/>
          <wp:wrapSquare wrapText="bothSides" distT="0" distB="0" distL="0" distR="0"/>
          <wp:docPr id="1" name="image1.jpg" descr="letter1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etter1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87240" cy="764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067BF"/>
    <w:multiLevelType w:val="multilevel"/>
    <w:tmpl w:val="B964C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985150"/>
    <w:multiLevelType w:val="multilevel"/>
    <w:tmpl w:val="71DC6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7D5862"/>
    <w:multiLevelType w:val="multilevel"/>
    <w:tmpl w:val="C3ECB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82C"/>
    <w:rsid w:val="00365BC5"/>
    <w:rsid w:val="0038382C"/>
    <w:rsid w:val="0095694D"/>
    <w:rsid w:val="00E8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3FE6"/>
  <w15:docId w15:val="{F3345E3C-0D4F-42E7-A264-5924DE5E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L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Gideon Lapidoth</cp:lastModifiedBy>
  <cp:revision>3</cp:revision>
  <dcterms:created xsi:type="dcterms:W3CDTF">2019-01-23T22:11:00Z</dcterms:created>
  <dcterms:modified xsi:type="dcterms:W3CDTF">2019-01-23T22:13:00Z</dcterms:modified>
</cp:coreProperties>
</file>