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b w:val="1"/>
          <w:sz w:val="36"/>
          <w:szCs w:val="36"/>
          <w:u w:val="single"/>
        </w:rPr>
      </w:pPr>
      <w:bookmarkStart w:colFirst="0" w:colLast="0" w:name="_gjdgxs" w:id="0"/>
      <w:bookmarkEnd w:id="0"/>
      <w:r w:rsidDel="00000000" w:rsidR="00000000" w:rsidRPr="00000000">
        <w:rPr>
          <w:b w:val="1"/>
          <w:color w:val="c0504d"/>
          <w:sz w:val="28"/>
          <w:szCs w:val="28"/>
          <w:rtl w:val="0"/>
        </w:rPr>
        <w:t xml:space="preserve">A Method for Regulating Angiogenesis through Modulation of ApoB</w:t>
      </w:r>
      <w:r w:rsidDel="00000000" w:rsidR="00000000" w:rsidRPr="00000000">
        <w:rPr>
          <w:rtl w:val="0"/>
        </w:rPr>
      </w:r>
    </w:p>
    <w:p w:rsidR="00000000" w:rsidDel="00000000" w:rsidP="00000000" w:rsidRDefault="00000000" w:rsidRPr="00000000" w14:paraId="00000002">
      <w:pPr>
        <w:spacing w:after="0" w:line="240" w:lineRule="auto"/>
        <w:jc w:val="both"/>
        <w:rPr>
          <w:b w:val="1"/>
          <w:sz w:val="36"/>
          <w:szCs w:val="36"/>
          <w:u w:val="single"/>
        </w:rPr>
      </w:pPr>
      <w:r w:rsidDel="00000000" w:rsidR="00000000" w:rsidRPr="00000000">
        <w:rPr>
          <w:b w:val="1"/>
          <w:sz w:val="36"/>
          <w:szCs w:val="36"/>
          <w:u w:val="single"/>
          <w:rtl w:val="0"/>
        </w:rPr>
        <w:t xml:space="preserve">Methods of Regulating Angiogenesis by Administering Agents Which Modulate ApobB-100 Polypeptide Levels</w:t>
      </w:r>
    </w:p>
    <w:p w:rsidR="00000000" w:rsidDel="00000000" w:rsidP="00000000" w:rsidRDefault="00000000" w:rsidRPr="00000000" w14:paraId="00000003">
      <w:pPr>
        <w:spacing w:after="0" w:lineRule="auto"/>
        <w:jc w:val="both"/>
        <w:rPr>
          <w:b w:val="1"/>
        </w:rPr>
      </w:pPr>
      <w:r w:rsidDel="00000000" w:rsidR="00000000" w:rsidRPr="00000000">
        <w:rPr>
          <w:rtl w:val="0"/>
        </w:rPr>
      </w:r>
    </w:p>
    <w:tbl>
      <w:tblPr>
        <w:tblStyle w:val="Table1"/>
        <w:tblW w:w="9360.0" w:type="dxa"/>
        <w:jc w:val="left"/>
        <w:tblInd w:w="108.0" w:type="dxa"/>
        <w:tblBorders>
          <w:top w:color="8064a2" w:space="0" w:sz="8" w:val="single"/>
          <w:bottom w:color="8064a2" w:space="0" w:sz="8" w:val="single"/>
        </w:tblBorders>
        <w:tblLayout w:type="fixed"/>
        <w:tblLook w:val="0400"/>
      </w:tblPr>
      <w:tblGrid>
        <w:gridCol w:w="4680"/>
        <w:gridCol w:w="4680"/>
        <w:tblGridChange w:id="0">
          <w:tblGrid>
            <w:gridCol w:w="4680"/>
            <w:gridCol w:w="4680"/>
          </w:tblGrid>
        </w:tblGridChange>
      </w:tblGrid>
      <w:tr>
        <w:trPr>
          <w:trHeight w:val="240" w:hRule="atLeast"/>
        </w:trPr>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4">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Number: </w:t>
            </w:r>
          </w:p>
        </w:tc>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5">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1621</w:t>
            </w:r>
          </w:p>
        </w:tc>
      </w:tr>
      <w:tr>
        <w:trPr>
          <w:trHeight w:val="240" w:hRule="atLeast"/>
        </w:trPr>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6">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Principal Investigator: </w:t>
            </w:r>
          </w:p>
        </w:tc>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7">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Dr. Karina Yaniv</w:t>
            </w:r>
          </w:p>
        </w:tc>
      </w:tr>
      <w:tr>
        <w:trPr>
          <w:trHeight w:val="240" w:hRule="atLeast"/>
        </w:trPr>
        <w:tc>
          <w:tcPr>
            <w:tcBorders>
              <w:top w:color="000000" w:space="0" w:sz="0" w:val="nil"/>
              <w:bottom w:color="8064a2" w:space="0" w:sz="8" w:val="single"/>
            </w:tcBorders>
            <w:shd w:fill="f5f2f8" w:val="clear"/>
          </w:tcPr>
          <w:p w:rsidR="00000000" w:rsidDel="00000000" w:rsidP="00000000" w:rsidRDefault="00000000" w:rsidRPr="00000000" w14:paraId="00000008">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Patent Status: </w:t>
            </w:r>
          </w:p>
        </w:tc>
        <w:tc>
          <w:tcPr>
            <w:tcBorders>
              <w:top w:color="000000" w:space="0" w:sz="0" w:val="nil"/>
              <w:bottom w:color="8064a2" w:space="0" w:sz="8" w:val="single"/>
            </w:tcBorders>
            <w:shd w:fill="f5f2f8" w:val="clear"/>
          </w:tcPr>
          <w:p w:rsidR="00000000" w:rsidDel="00000000" w:rsidP="00000000" w:rsidRDefault="00000000" w:rsidRPr="00000000" w14:paraId="00000009">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Pending</w:t>
            </w:r>
          </w:p>
        </w:tc>
      </w:tr>
    </w:tbl>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76" w:lineRule="auto"/>
        <w:jc w:val="both"/>
        <w:rPr>
          <w:b w:val="1"/>
          <w:color w:val="4f81bd"/>
          <w:sz w:val="28"/>
          <w:szCs w:val="28"/>
          <w:u w:val="single"/>
        </w:rPr>
      </w:pPr>
      <w:r w:rsidDel="00000000" w:rsidR="00000000" w:rsidRPr="00000000">
        <w:rPr>
          <w:rtl w:val="0"/>
        </w:rPr>
      </w:r>
    </w:p>
    <w:p w:rsidR="00000000" w:rsidDel="00000000" w:rsidP="00000000" w:rsidRDefault="00000000" w:rsidRPr="00000000" w14:paraId="0000000B">
      <w:pPr>
        <w:widowControl w:val="0"/>
        <w:spacing w:line="240" w:lineRule="auto"/>
        <w:jc w:val="both"/>
        <w:rPr>
          <w:b w:val="1"/>
          <w:color w:val="4f81bd"/>
          <w:sz w:val="28"/>
          <w:szCs w:val="28"/>
          <w:u w:val="single"/>
        </w:rPr>
      </w:pPr>
      <w:r w:rsidDel="00000000" w:rsidR="00000000" w:rsidRPr="00000000">
        <w:rPr>
          <w:b w:val="1"/>
          <w:color w:val="4f81bd"/>
          <w:sz w:val="28"/>
          <w:szCs w:val="28"/>
          <w:u w:val="single"/>
          <w:rtl w:val="0"/>
        </w:rPr>
        <w:t xml:space="preserve">Overview</w:t>
      </w:r>
    </w:p>
    <w:p w:rsidR="00000000" w:rsidDel="00000000" w:rsidP="00000000" w:rsidRDefault="00000000" w:rsidRPr="00000000" w14:paraId="0000000C">
      <w:pPr>
        <w:widowControl w:val="0"/>
        <w:spacing w:line="240" w:lineRule="auto"/>
        <w:jc w:val="both"/>
        <w:rPr>
          <w:b w:val="1"/>
          <w:color w:val="00000a"/>
        </w:rPr>
      </w:pPr>
      <w:r w:rsidDel="00000000" w:rsidR="00000000" w:rsidRPr="00000000">
        <w:rPr>
          <w:b w:val="1"/>
          <w:color w:val="00000a"/>
          <w:rtl w:val="0"/>
        </w:rPr>
        <w:t xml:space="preserve">A novel method for </w:t>
      </w:r>
      <w:r w:rsidDel="00000000" w:rsidR="00000000" w:rsidRPr="00000000">
        <w:rPr>
          <w:b w:val="1"/>
          <w:color w:val="00000a"/>
          <w:rtl w:val="0"/>
        </w:rPr>
        <w:t xml:space="preserve">treating cancer by inhibiting angiogenesis through regulating the levels apolipoprotein B (ApoB)</w:t>
      </w:r>
      <w:r w:rsidDel="00000000" w:rsidR="00000000" w:rsidRPr="00000000">
        <w:rPr>
          <w:rtl w:val="0"/>
        </w:rPr>
      </w:r>
    </w:p>
    <w:p w:rsidR="00000000" w:rsidDel="00000000" w:rsidP="00000000" w:rsidRDefault="00000000" w:rsidRPr="00000000" w14:paraId="0000000D">
      <w:pPr>
        <w:widowControl w:val="0"/>
        <w:spacing w:line="240" w:lineRule="auto"/>
        <w:jc w:val="both"/>
        <w:rPr>
          <w:b w:val="1"/>
          <w:color w:val="4f81bd"/>
          <w:sz w:val="24"/>
          <w:szCs w:val="24"/>
          <w:u w:val="single"/>
        </w:rPr>
      </w:pPr>
      <w:r w:rsidDel="00000000" w:rsidR="00000000" w:rsidRPr="00000000">
        <w:rPr>
          <w:b w:val="1"/>
          <w:color w:val="4f81bd"/>
          <w:sz w:val="28"/>
          <w:szCs w:val="28"/>
          <w:u w:val="single"/>
          <w:rtl w:val="0"/>
        </w:rPr>
        <w:t xml:space="preserve">Background and Unmet Need</w:t>
      </w: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sz w:val="24"/>
          <w:szCs w:val="24"/>
          <w:rtl w:val="0"/>
        </w:rPr>
        <w:t xml:space="preserve">Angiogenesis is the formation of new blood vessels from pre-existing vasculature. Therefore, angiogenesis is a fundamental part of tissue development. However, angiogenesis is also an important mechanism for the growth and metastasis of tumors. Tumor cells promote angiogenesis by secreting the signaling molecule VEGF (vascular endothelial growth factor) which binds to its respective receptor (VEGFR). Previous studies have shown that the vascular endothelial growth factor receptor 1 (VEGFR1) plays an inhibitory role in angiogenesis, acting as a “sink” for the VEGF ligand. </w:t>
      </w:r>
      <w:r w:rsidDel="00000000" w:rsidR="00000000" w:rsidRPr="00000000">
        <w:rPr>
          <w:b w:val="1"/>
          <w:sz w:val="24"/>
          <w:szCs w:val="24"/>
          <w:rtl w:val="0"/>
        </w:rPr>
        <w:t xml:space="preserve">Therefore, inhibiting angiogenesis by VEGFR1 can be used as a potential method of retarding tumor progression.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0">
      <w:pPr>
        <w:widowControl w:val="0"/>
        <w:spacing w:line="276" w:lineRule="auto"/>
        <w:jc w:val="both"/>
        <w:rPr>
          <w:b w:val="1"/>
          <w:color w:val="4f81bd"/>
          <w:sz w:val="24"/>
          <w:szCs w:val="24"/>
          <w:u w:val="single"/>
        </w:rPr>
      </w:pPr>
      <w:r w:rsidDel="00000000" w:rsidR="00000000" w:rsidRPr="00000000">
        <w:rPr>
          <w:b w:val="1"/>
          <w:color w:val="4f81bd"/>
          <w:sz w:val="24"/>
          <w:szCs w:val="24"/>
          <w:u w:val="single"/>
          <w:rtl w:val="0"/>
        </w:rPr>
        <w:t xml:space="preserve">The Technology</w:t>
      </w:r>
    </w:p>
    <w:p w:rsidR="00000000" w:rsidDel="00000000" w:rsidP="00000000" w:rsidRDefault="00000000" w:rsidRPr="00000000" w14:paraId="00000011">
      <w:pPr>
        <w:widowControl w:val="0"/>
        <w:spacing w:after="0" w:line="240" w:lineRule="auto"/>
        <w:jc w:val="both"/>
        <w:rPr>
          <w:sz w:val="24"/>
          <w:szCs w:val="24"/>
        </w:rPr>
      </w:pPr>
      <w:r w:rsidDel="00000000" w:rsidR="00000000" w:rsidRPr="00000000">
        <w:rPr>
          <w:sz w:val="24"/>
          <w:szCs w:val="24"/>
          <w:rtl w:val="0"/>
        </w:rPr>
        <w:t xml:space="preserve">The technology is based on the novel discovery, made in the lab of Dr. Karina Yaniv, that ApoB-containing lipoproteins regulate angiogenesis by elevating expression levels of VEGFR1. </w:t>
      </w:r>
      <w:r w:rsidDel="00000000" w:rsidR="00000000" w:rsidRPr="00000000">
        <w:rPr>
          <w:sz w:val="24"/>
          <w:szCs w:val="24"/>
          <w:rtl w:val="0"/>
        </w:rPr>
        <w:t xml:space="preserve">The team were also able to prove that </w:t>
      </w:r>
      <w:r w:rsidDel="00000000" w:rsidR="00000000" w:rsidRPr="00000000">
        <w:rPr>
          <w:sz w:val="24"/>
          <w:szCs w:val="24"/>
          <w:rtl w:val="0"/>
        </w:rPr>
        <w:t xml:space="preserve">the ApoB protein itself, and not the lipid moieties within the lipoprotein, acts on endothelial cells to regulate angiogenesis. </w:t>
      </w:r>
      <w:r w:rsidDel="00000000" w:rsidR="00000000" w:rsidRPr="00000000">
        <w:rPr>
          <w:sz w:val="24"/>
          <w:szCs w:val="24"/>
          <w:rtl w:val="0"/>
        </w:rPr>
        <w:t xml:space="preserve">Therefore by adjusting the amount of available apoB one can modulate angiogenesis, such as suppressing angiogenesis by directly administering ApoB. </w:t>
      </w:r>
      <w:r w:rsidDel="00000000" w:rsidR="00000000" w:rsidRPr="00000000">
        <w:rPr>
          <w:rtl w:val="0"/>
        </w:rPr>
      </w:r>
    </w:p>
    <w:p w:rsidR="00000000" w:rsidDel="00000000" w:rsidP="00000000" w:rsidRDefault="00000000" w:rsidRPr="00000000" w14:paraId="00000012">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13">
      <w:pPr>
        <w:widowControl w:val="0"/>
        <w:spacing w:after="120" w:line="276" w:lineRule="auto"/>
        <w:jc w:val="both"/>
        <w:rPr>
          <w:color w:val="000000"/>
          <w:sz w:val="24"/>
          <w:szCs w:val="24"/>
        </w:rPr>
      </w:pPr>
      <w:r w:rsidDel="00000000" w:rsidR="00000000" w:rsidRPr="00000000">
        <w:rPr>
          <w:b w:val="1"/>
          <w:i w:val="1"/>
          <w:color w:val="c00000"/>
          <w:sz w:val="24"/>
          <w:szCs w:val="24"/>
          <w:rtl w:val="0"/>
        </w:rPr>
        <w:t xml:space="preserve">Advantages and Applications</w:t>
      </w:r>
      <w:r w:rsidDel="00000000" w:rsidR="00000000" w:rsidRPr="00000000">
        <w:rPr>
          <w:rtl w:val="0"/>
        </w:rPr>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sz w:val="24"/>
          <w:szCs w:val="24"/>
          <w:rtl w:val="0"/>
        </w:rPr>
        <w:t xml:space="preserve">A novel orthogonal method for treating pathological angiogenesis.</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333333"/>
          <w:sz w:val="24"/>
          <w:szCs w:val="24"/>
          <w:highlight w:val="white"/>
        </w:rPr>
      </w:pPr>
      <w:r w:rsidDel="00000000" w:rsidR="00000000" w:rsidRPr="00000000">
        <w:rPr>
          <w:color w:val="333333"/>
          <w:sz w:val="24"/>
          <w:szCs w:val="24"/>
          <w:highlight w:val="white"/>
          <w:rtl w:val="0"/>
        </w:rPr>
        <w:t xml:space="preserve">Repressing angiogenesis by directly administrating ApoB.</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sz w:val="24"/>
          <w:szCs w:val="24"/>
          <w:rtl w:val="0"/>
        </w:rPr>
        <w:t xml:space="preserve">Diagnosis of metastasized cancer by determining the levels of apo-B </w:t>
      </w:r>
      <w:r w:rsidDel="00000000" w:rsidR="00000000" w:rsidRPr="00000000">
        <w:rPr>
          <w:color w:val="333333"/>
          <w:sz w:val="24"/>
          <w:szCs w:val="24"/>
          <w:highlight w:val="white"/>
          <w:rtl w:val="0"/>
        </w:rPr>
        <w:t xml:space="preserve">in a fluid sample (blood, plasma, saliva, urine, etc.)</w:t>
      </w:r>
      <w:r w:rsidDel="00000000" w:rsidR="00000000" w:rsidRPr="00000000">
        <w:rPr>
          <w:rtl w:val="0"/>
        </w:rPr>
      </w:r>
    </w:p>
    <w:p w:rsidR="00000000" w:rsidDel="00000000" w:rsidP="00000000" w:rsidRDefault="00000000" w:rsidRPr="00000000" w14:paraId="00000017">
      <w:pPr>
        <w:spacing w:after="120" w:lineRule="auto"/>
        <w:jc w:val="both"/>
        <w:rPr>
          <w:b w:val="1"/>
          <w:color w:val="4f81bd"/>
          <w:sz w:val="28"/>
          <w:szCs w:val="28"/>
          <w:u w:val="single"/>
        </w:rPr>
      </w:pPr>
      <w:r w:rsidDel="00000000" w:rsidR="00000000" w:rsidRPr="00000000">
        <w:rPr>
          <w:rtl w:val="0"/>
        </w:rPr>
      </w:r>
    </w:p>
    <w:p w:rsidR="00000000" w:rsidDel="00000000" w:rsidP="00000000" w:rsidRDefault="00000000" w:rsidRPr="00000000" w14:paraId="00000018">
      <w:pPr>
        <w:spacing w:after="120" w:lineRule="auto"/>
        <w:jc w:val="both"/>
        <w:rPr>
          <w:b w:val="1"/>
          <w:color w:val="4f81bd"/>
          <w:sz w:val="28"/>
          <w:szCs w:val="28"/>
          <w:u w:val="single"/>
        </w:rPr>
      </w:pPr>
      <w:r w:rsidDel="00000000" w:rsidR="00000000" w:rsidRPr="00000000">
        <w:rPr>
          <w:rtl w:val="0"/>
        </w:rPr>
      </w:r>
    </w:p>
    <w:p w:rsidR="00000000" w:rsidDel="00000000" w:rsidP="00000000" w:rsidRDefault="00000000" w:rsidRPr="00000000" w14:paraId="00000019">
      <w:pPr>
        <w:spacing w:after="120" w:lineRule="auto"/>
        <w:jc w:val="both"/>
        <w:rPr>
          <w:b w:val="1"/>
          <w:color w:val="4f81bd"/>
          <w:sz w:val="28"/>
          <w:szCs w:val="28"/>
          <w:u w:val="single"/>
        </w:rPr>
      </w:pPr>
      <w:r w:rsidDel="00000000" w:rsidR="00000000" w:rsidRPr="00000000">
        <w:rPr>
          <w:b w:val="1"/>
          <w:color w:val="4f81bd"/>
          <w:sz w:val="28"/>
          <w:szCs w:val="28"/>
          <w:u w:val="single"/>
          <w:rtl w:val="0"/>
        </w:rPr>
        <w:t xml:space="preserve">Development Status</w:t>
      </w:r>
    </w:p>
    <w:p w:rsidR="00000000" w:rsidDel="00000000" w:rsidP="00000000" w:rsidRDefault="00000000" w:rsidRPr="00000000" w14:paraId="0000001A">
      <w:pPr>
        <w:spacing w:after="0" w:lineRule="auto"/>
        <w:jc w:val="both"/>
        <w:rPr>
          <w:sz w:val="24"/>
          <w:szCs w:val="24"/>
        </w:rPr>
      </w:pPr>
      <w:r w:rsidDel="00000000" w:rsidR="00000000" w:rsidRPr="00000000">
        <w:rPr>
          <w:sz w:val="24"/>
          <w:szCs w:val="24"/>
          <w:rtl w:val="0"/>
        </w:rPr>
        <w:t xml:space="preserve">The team of Dr. Yaniv has demonstrated </w:t>
      </w:r>
      <w:r w:rsidDel="00000000" w:rsidR="00000000" w:rsidRPr="00000000">
        <w:rPr>
          <w:sz w:val="24"/>
          <w:szCs w:val="24"/>
          <w:rtl w:val="0"/>
        </w:rPr>
        <w:t xml:space="preserve">in the prestigious scientific journal of </w:t>
      </w:r>
      <w:r w:rsidDel="00000000" w:rsidR="00000000" w:rsidRPr="00000000">
        <w:rPr>
          <w:i w:val="1"/>
          <w:sz w:val="24"/>
          <w:szCs w:val="24"/>
          <w:rtl w:val="0"/>
        </w:rPr>
        <w:t xml:space="preserve">Nature Medicine</w:t>
      </w:r>
      <w:r w:rsidDel="00000000" w:rsidR="00000000" w:rsidRPr="00000000">
        <w:rPr>
          <w:i w:val="1"/>
          <w:color w:val="00000a"/>
          <w:vertAlign w:val="superscript"/>
        </w:rPr>
        <w:footnoteReference w:customMarkFollows="0" w:id="0"/>
      </w:r>
      <w:r w:rsidDel="00000000" w:rsidR="00000000" w:rsidRPr="00000000">
        <w:rPr>
          <w:sz w:val="24"/>
          <w:szCs w:val="24"/>
          <w:rtl w:val="0"/>
        </w:rPr>
        <w:t xml:space="preserve">,</w:t>
      </w:r>
      <w:r w:rsidDel="00000000" w:rsidR="00000000" w:rsidRPr="00000000">
        <w:rPr>
          <w:sz w:val="24"/>
          <w:szCs w:val="24"/>
          <w:rtl w:val="0"/>
        </w:rPr>
        <w:t xml:space="preserve"> using </w:t>
      </w:r>
      <w:r w:rsidDel="00000000" w:rsidR="00000000" w:rsidRPr="00000000">
        <w:rPr>
          <w:i w:val="1"/>
          <w:sz w:val="24"/>
          <w:szCs w:val="24"/>
          <w:rtl w:val="0"/>
        </w:rPr>
        <w:t xml:space="preserve">in vivo</w:t>
      </w:r>
      <w:r w:rsidDel="00000000" w:rsidR="00000000" w:rsidRPr="00000000">
        <w:rPr>
          <w:sz w:val="24"/>
          <w:szCs w:val="24"/>
          <w:rtl w:val="0"/>
        </w:rPr>
        <w:t xml:space="preserve"> zebrafish models the effects of ApoB-containing lipoproteins on angiogenesis, that exogenous delivery of LDL inhibits angiogenesis. </w:t>
      </w:r>
      <w:r w:rsidDel="00000000" w:rsidR="00000000" w:rsidRPr="00000000">
        <w:rPr>
          <w:i w:val="1"/>
          <w:sz w:val="24"/>
          <w:szCs w:val="24"/>
          <w:rtl w:val="0"/>
        </w:rPr>
        <w:t xml:space="preserve">In vitro,</w:t>
      </w:r>
      <w:r w:rsidDel="00000000" w:rsidR="00000000" w:rsidRPr="00000000">
        <w:rPr>
          <w:sz w:val="24"/>
          <w:szCs w:val="24"/>
          <w:rtl w:val="0"/>
        </w:rPr>
        <w:t xml:space="preserve"> treating human aortic endothelial cells (HAECs) and human umbilical vein endothelial cells (HUVECs) with LDL elicited an increase in VEGFR1 expression. The team have also shown in hyperlipidemic and Apoe-negative or Ldlr-null mice increased endothelial-specific VEGFR1 expression compared to control </w:t>
      </w:r>
      <w:r w:rsidDel="00000000" w:rsidR="00000000" w:rsidRPr="00000000">
        <w:rPr>
          <w:i w:val="1"/>
          <w:sz w:val="24"/>
          <w:szCs w:val="24"/>
          <w:rtl w:val="0"/>
        </w:rPr>
        <w:t xml:space="preserve">WT</w:t>
      </w:r>
      <w:r w:rsidDel="00000000" w:rsidR="00000000" w:rsidRPr="00000000">
        <w:rPr>
          <w:sz w:val="24"/>
          <w:szCs w:val="24"/>
          <w:rtl w:val="0"/>
        </w:rPr>
        <w:t xml:space="preserve"> mice, confirming the connection between ApoB and VEGFR1 expression in higher vertebrates. </w:t>
      </w:r>
      <w:r w:rsidDel="00000000" w:rsidR="00000000" w:rsidRPr="00000000">
        <w:rPr>
          <w:rtl w:val="0"/>
        </w:rPr>
      </w:r>
    </w:p>
    <w:p w:rsidR="00000000" w:rsidDel="00000000" w:rsidP="00000000" w:rsidRDefault="00000000" w:rsidRPr="00000000" w14:paraId="0000001B">
      <w:pPr>
        <w:jc w:val="both"/>
        <w:rPr>
          <w:b w:val="1"/>
          <w:color w:val="4f81bd"/>
          <w:sz w:val="28"/>
          <w:szCs w:val="28"/>
          <w:u w:val="single"/>
        </w:rPr>
      </w:pPr>
      <w:r w:rsidDel="00000000" w:rsidR="00000000" w:rsidRPr="00000000">
        <w:rPr>
          <w:rtl w:val="0"/>
        </w:rPr>
      </w:r>
    </w:p>
    <w:p w:rsidR="00000000" w:rsidDel="00000000" w:rsidP="00000000" w:rsidRDefault="00000000" w:rsidRPr="00000000" w14:paraId="0000001C">
      <w:pPr>
        <w:jc w:val="both"/>
        <w:rPr>
          <w:b w:val="1"/>
          <w:color w:val="4f81bd"/>
          <w:sz w:val="28"/>
          <w:szCs w:val="28"/>
          <w:u w:val="single"/>
        </w:rPr>
      </w:pPr>
      <w:r w:rsidDel="00000000" w:rsidR="00000000" w:rsidRPr="00000000">
        <w:rPr>
          <w:b w:val="1"/>
          <w:color w:val="4f81bd"/>
          <w:sz w:val="28"/>
          <w:szCs w:val="28"/>
          <w:u w:val="single"/>
          <w:rtl w:val="0"/>
        </w:rPr>
        <w:t xml:space="preserve">For additional information please contact:</w:t>
      </w:r>
    </w:p>
    <w:p w:rsidR="00000000" w:rsidDel="00000000" w:rsidP="00000000" w:rsidRDefault="00000000" w:rsidRPr="00000000" w14:paraId="0000001D">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Dr. Orly Savion</w:t>
      </w:r>
    </w:p>
    <w:p w:rsidR="00000000" w:rsidDel="00000000" w:rsidP="00000000" w:rsidRDefault="00000000" w:rsidRPr="00000000" w14:paraId="0000001E">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Licensing Director</w:t>
      </w:r>
    </w:p>
    <w:p w:rsidR="00000000" w:rsidDel="00000000" w:rsidP="00000000" w:rsidRDefault="00000000" w:rsidRPr="00000000" w14:paraId="0000001F">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Tel: +972.8.9344374 </w:t>
      </w:r>
    </w:p>
    <w:p w:rsidR="00000000" w:rsidDel="00000000" w:rsidP="00000000" w:rsidRDefault="00000000" w:rsidRPr="00000000" w14:paraId="00000020">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Email:</w:t>
      </w:r>
      <w:hyperlink r:id="rId7">
        <w:r w:rsidDel="00000000" w:rsidR="00000000" w:rsidRPr="00000000">
          <w:rPr>
            <w:rFonts w:ascii="Tahoma" w:cs="Tahoma" w:eastAsia="Tahoma" w:hAnsi="Tahoma"/>
            <w:color w:val="1155cc"/>
            <w:sz w:val="20"/>
            <w:szCs w:val="20"/>
            <w:u w:val="single"/>
            <w:rtl w:val="0"/>
          </w:rPr>
          <w:t xml:space="preserve"> orly.savion@weizmann.ac.il</w:t>
        </w:r>
      </w:hyperlink>
      <w:r w:rsidDel="00000000" w:rsidR="00000000" w:rsidRPr="00000000">
        <w:rPr>
          <w:rtl w:val="0"/>
        </w:rPr>
      </w:r>
    </w:p>
    <w:p w:rsidR="00000000" w:rsidDel="00000000" w:rsidP="00000000" w:rsidRDefault="00000000" w:rsidRPr="00000000" w14:paraId="00000021">
      <w:pPr>
        <w:widowControl w:val="0"/>
        <w:spacing w:after="0" w:line="276" w:lineRule="auto"/>
        <w:ind w:right="-97"/>
        <w:jc w:val="both"/>
        <w:rPr>
          <w:rFonts w:ascii="Tahoma" w:cs="Tahoma" w:eastAsia="Tahoma" w:hAnsi="Tahoma"/>
          <w:sz w:val="20"/>
          <w:szCs w:val="20"/>
        </w:rPr>
      </w:pPr>
      <w:r w:rsidDel="00000000" w:rsidR="00000000" w:rsidRPr="00000000">
        <w:rPr>
          <w:rtl w:val="0"/>
        </w:rPr>
      </w:r>
    </w:p>
    <w:sectPr>
      <w:headerReference r:id="rId8" w:type="default"/>
      <w:footerReference r:id="rId9"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val="1"/>
        <w:i w:val="1"/>
        <w:color w:val="7f7f7f"/>
        <w:sz w:val="20"/>
        <w:szCs w:val="20"/>
      </w:rPr>
    </w:pPr>
    <w:r w:rsidDel="00000000" w:rsidR="00000000" w:rsidRPr="00000000">
      <w:rPr>
        <w:b w:val="1"/>
        <w:i w:val="1"/>
        <w:color w:val="7f7f7f"/>
        <w:sz w:val="18"/>
        <w:szCs w:val="18"/>
        <w:rtl w:val="0"/>
      </w:rPr>
      <w:t xml:space="preserve"> </w:t>
      <w:tab/>
      <w:tab/>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Arial" w:cs="Arial" w:eastAsia="Arial" w:hAnsi="Arial"/>
          <w:color w:val="222222"/>
          <w:sz w:val="16"/>
          <w:szCs w:val="16"/>
          <w:highlight w:val="white"/>
          <w:rtl w:val="0"/>
        </w:rPr>
        <w:t xml:space="preserve">Avraham-Davidi, Inbal, et al. "ApoB-containing lipoproteins regulate angiogenesis by modulating expression of VEGF receptor 1." </w:t>
      </w:r>
      <w:r w:rsidDel="00000000" w:rsidR="00000000" w:rsidRPr="00000000">
        <w:rPr>
          <w:rFonts w:ascii="Arial" w:cs="Arial" w:eastAsia="Arial" w:hAnsi="Arial"/>
          <w:i w:val="1"/>
          <w:color w:val="222222"/>
          <w:sz w:val="16"/>
          <w:szCs w:val="16"/>
          <w:highlight w:val="white"/>
          <w:rtl w:val="0"/>
        </w:rPr>
        <w:t xml:space="preserve">Nature medicine</w:t>
      </w:r>
      <w:r w:rsidDel="00000000" w:rsidR="00000000" w:rsidRPr="00000000">
        <w:rPr>
          <w:rFonts w:ascii="Arial" w:cs="Arial" w:eastAsia="Arial" w:hAnsi="Arial"/>
          <w:color w:val="222222"/>
          <w:sz w:val="16"/>
          <w:szCs w:val="16"/>
          <w:highlight w:val="white"/>
          <w:rtl w:val="0"/>
        </w:rPr>
        <w:t xml:space="preserve"> 18.6 (2012): 967.</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800100</wp:posOffset>
          </wp:positionH>
          <wp:positionV relativeFrom="paragraph">
            <wp:posOffset>0</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orly.savion@weizmann.ac.i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