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5E02B" w14:textId="77777777" w:rsidR="00671E24" w:rsidRPr="00671E24" w:rsidRDefault="00671E24" w:rsidP="00671E24">
      <w:pPr>
        <w:pStyle w:val="Heading1"/>
      </w:pPr>
      <w:r w:rsidRPr="00671E24">
        <w:t>Brayton Cycle Model Report</w:t>
      </w:r>
    </w:p>
    <w:p w14:paraId="4735A0AC" w14:textId="79BD0DC8" w:rsidR="00671E24" w:rsidRPr="00671E24" w:rsidRDefault="00671E24" w:rsidP="00671E24">
      <w:pPr>
        <w:pStyle w:val="Heading2"/>
      </w:pPr>
      <w:r w:rsidRPr="00671E24">
        <w:t>Introduction</w:t>
      </w:r>
    </w:p>
    <w:p w14:paraId="2B195DEC" w14:textId="6C664B30" w:rsidR="0096206B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 xml:space="preserve">This report describes a Python-based </w:t>
      </w:r>
      <w:r w:rsidR="00D740C5">
        <w:rPr>
          <w:rFonts w:ascii="Cambria" w:hAnsi="Cambria"/>
        </w:rPr>
        <w:t xml:space="preserve">simulation for </w:t>
      </w:r>
      <w:r w:rsidR="004F0054" w:rsidRPr="004F0054">
        <w:rPr>
          <w:rFonts w:ascii="Cambria" w:hAnsi="Cambria"/>
          <w:b/>
          <w:bCs/>
        </w:rPr>
        <w:t xml:space="preserve">Air-Standard </w:t>
      </w:r>
      <w:r w:rsidRPr="00671E24">
        <w:rPr>
          <w:rFonts w:ascii="Cambria" w:hAnsi="Cambria"/>
          <w:b/>
          <w:bCs/>
        </w:rPr>
        <w:t>Brayton</w:t>
      </w:r>
      <w:r w:rsidR="004F0054">
        <w:rPr>
          <w:rFonts w:ascii="Cambria" w:hAnsi="Cambria"/>
          <w:b/>
          <w:bCs/>
        </w:rPr>
        <w:t xml:space="preserve"> </w:t>
      </w:r>
      <w:r w:rsidRPr="00671E24">
        <w:rPr>
          <w:rFonts w:ascii="Cambria" w:hAnsi="Cambria"/>
          <w:b/>
          <w:bCs/>
        </w:rPr>
        <w:t>Cycle</w:t>
      </w:r>
      <w:r w:rsidR="008F1C4A">
        <w:rPr>
          <w:rFonts w:ascii="Cambria" w:hAnsi="Cambria"/>
          <w:b/>
          <w:bCs/>
        </w:rPr>
        <w:t xml:space="preserve"> </w:t>
      </w:r>
      <w:r w:rsidR="00D740C5">
        <w:rPr>
          <w:rFonts w:ascii="Cambria" w:hAnsi="Cambria"/>
          <w:b/>
          <w:bCs/>
        </w:rPr>
        <w:t>considering</w:t>
      </w:r>
      <w:r w:rsidR="008F1C4A">
        <w:rPr>
          <w:rFonts w:ascii="Cambria" w:hAnsi="Cambria"/>
          <w:b/>
          <w:bCs/>
        </w:rPr>
        <w:t xml:space="preserve"> </w:t>
      </w:r>
      <w:r w:rsidR="008932E0">
        <w:rPr>
          <w:rFonts w:ascii="Cambria" w:hAnsi="Cambria"/>
          <w:b/>
          <w:bCs/>
        </w:rPr>
        <w:t>irreversibili</w:t>
      </w:r>
      <w:r w:rsidR="00D740C5">
        <w:rPr>
          <w:rFonts w:ascii="Cambria" w:hAnsi="Cambria"/>
          <w:b/>
          <w:bCs/>
        </w:rPr>
        <w:t xml:space="preserve">ties </w:t>
      </w:r>
      <w:r w:rsidR="00D740C5" w:rsidRPr="00D740C5">
        <w:rPr>
          <w:rFonts w:ascii="Cambria" w:hAnsi="Cambria"/>
        </w:rPr>
        <w:t>in the compression and expansion processes</w:t>
      </w:r>
      <w:r w:rsidR="0096206B">
        <w:rPr>
          <w:rFonts w:ascii="Cambria" w:hAnsi="Cambria"/>
        </w:rPr>
        <w:t>.</w:t>
      </w:r>
    </w:p>
    <w:p w14:paraId="6F61B229" w14:textId="2A61C05E" w:rsidR="00671E24" w:rsidRDefault="0096206B" w:rsidP="00671E24">
      <w:p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This cycle is</w:t>
      </w:r>
      <w:r w:rsidR="00671E24" w:rsidRPr="00671E24">
        <w:rPr>
          <w:rFonts w:ascii="Cambria" w:hAnsi="Cambria"/>
        </w:rPr>
        <w:t xml:space="preserve"> widely used in gas turbine engines. The program calculates state conditions, work, heat transfer, efficiency, and power output based on user-provided initial conditions.</w:t>
      </w:r>
    </w:p>
    <w:p w14:paraId="224F4159" w14:textId="67FEC8CE" w:rsidR="007664E0" w:rsidRDefault="007664E0" w:rsidP="004F0054">
      <w:pPr>
        <w:pStyle w:val="Heading2"/>
      </w:pPr>
      <w:r>
        <w:t xml:space="preserve">The </w:t>
      </w:r>
      <w:r w:rsidR="00105AFB">
        <w:t>Air-Standard Brayton Cycle</w:t>
      </w:r>
      <w:r w:rsidR="008F1C4A">
        <w:t xml:space="preserve"> with </w:t>
      </w:r>
      <w:r w:rsidR="008932E0">
        <w:t>irreversibility</w:t>
      </w:r>
    </w:p>
    <w:p w14:paraId="22CB9FCC" w14:textId="2042EE9A" w:rsidR="00B21023" w:rsidRDefault="00105AFB" w:rsidP="00040CA1">
      <w:pPr>
        <w:jc w:val="center"/>
      </w:pPr>
      <w:r>
        <w:rPr>
          <w:noProof/>
        </w:rPr>
        <w:drawing>
          <wp:inline distT="0" distB="0" distL="0" distR="0" wp14:anchorId="68450DC3" wp14:editId="3D13D7D0">
            <wp:extent cx="2124075" cy="1885862"/>
            <wp:effectExtent l="0" t="0" r="0" b="635"/>
            <wp:docPr id="1741628711" name="Picture 1" descr="Diagram of a diagram of a heat exchang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628711" name="Picture 1" descr="Diagram of a diagram of a heat exchang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4856" cy="189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C4A">
        <w:rPr>
          <w:noProof/>
        </w:rPr>
        <w:drawing>
          <wp:inline distT="0" distB="0" distL="0" distR="0" wp14:anchorId="42C8431E" wp14:editId="70A579F5">
            <wp:extent cx="2096219" cy="1763045"/>
            <wp:effectExtent l="0" t="0" r="0" b="8890"/>
            <wp:docPr id="1539156978" name="Picture 1" descr="A diagram of a triangle with arrows and poi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56978" name="Picture 1" descr="A diagram of a triangle with arrows and poin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3427" cy="176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D5F1" w14:textId="0CEAB8EB" w:rsidR="00522632" w:rsidRPr="00B21023" w:rsidRDefault="00522632" w:rsidP="0052263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562C">
        <w:rPr>
          <w:noProof/>
        </w:rPr>
        <w:t>1</w:t>
      </w:r>
      <w:r>
        <w:fldChar w:fldCharType="end"/>
      </w:r>
      <w:r>
        <w:t xml:space="preserve"> Air-Standard Brayton Cycle</w:t>
      </w:r>
      <w:r w:rsidR="00CA2175">
        <w:t xml:space="preserve"> including irreversibility of compression and expansion processes</w:t>
      </w:r>
      <w:r>
        <w:t xml:space="preserve"> </w:t>
      </w:r>
      <w:sdt>
        <w:sdtPr>
          <w:id w:val="271674737"/>
          <w:citation/>
        </w:sdtPr>
        <w:sdtContent>
          <w:r>
            <w:fldChar w:fldCharType="begin"/>
          </w:r>
          <w:r w:rsidRPr="00522632">
            <w:instrText xml:space="preserve"> CITATION Mor14 \l 3082 </w:instrText>
          </w:r>
          <w:r>
            <w:fldChar w:fldCharType="separate"/>
          </w:r>
          <w:r w:rsidRPr="00522632">
            <w:rPr>
              <w:noProof/>
            </w:rPr>
            <w:t>(Moran, Shapiro, Boettner, &amp; Bailey, 2014)</w:t>
          </w:r>
          <w:r>
            <w:fldChar w:fldCharType="end"/>
          </w:r>
        </w:sdtContent>
      </w:sdt>
    </w:p>
    <w:p w14:paraId="388759AE" w14:textId="5548090E" w:rsidR="0096206B" w:rsidRPr="0096206B" w:rsidRDefault="0096206B" w:rsidP="0096206B">
      <w:p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</w:rPr>
        <w:t>The standard-air Brayton cycle</w:t>
      </w:r>
      <w:r w:rsidR="008F1C4A">
        <w:rPr>
          <w:rFonts w:ascii="Cambria" w:hAnsi="Cambria"/>
        </w:rPr>
        <w:t xml:space="preserve"> with </w:t>
      </w:r>
      <w:r w:rsidR="008932E0">
        <w:rPr>
          <w:rFonts w:ascii="Cambria" w:hAnsi="Cambria"/>
        </w:rPr>
        <w:t>irreversibility</w:t>
      </w:r>
      <w:r w:rsidRPr="0096206B">
        <w:rPr>
          <w:rFonts w:ascii="Cambria" w:hAnsi="Cambria"/>
        </w:rPr>
        <w:t xml:space="preserve"> consists of four main stages:</w:t>
      </w:r>
    </w:p>
    <w:p w14:paraId="76800834" w14:textId="44D4CF13" w:rsidR="0096206B" w:rsidRPr="0096206B" w:rsidRDefault="0096206B" w:rsidP="0096206B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Compression</w:t>
      </w:r>
      <w:r w:rsidRPr="0096206B">
        <w:rPr>
          <w:rFonts w:ascii="Cambria" w:hAnsi="Cambria"/>
        </w:rPr>
        <w:t>: Ambient air is compressed in the compressor, increasing pressure and temperature</w:t>
      </w:r>
      <w:r w:rsidR="008F1C4A">
        <w:rPr>
          <w:rFonts w:ascii="Cambria" w:hAnsi="Cambria"/>
        </w:rPr>
        <w:t>. This compression is non-isentropic.</w:t>
      </w:r>
    </w:p>
    <w:p w14:paraId="0F009F1F" w14:textId="6351D9E8" w:rsidR="0096206B" w:rsidRPr="0096206B" w:rsidRDefault="0096206B" w:rsidP="0096206B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Isobaric Heat Addition</w:t>
      </w:r>
      <w:r w:rsidRPr="0096206B">
        <w:rPr>
          <w:rFonts w:ascii="Cambria" w:hAnsi="Cambria"/>
        </w:rPr>
        <w:t>: The compressed air absorbs heat in the combustion chamber, raising its temperature.</w:t>
      </w:r>
    </w:p>
    <w:p w14:paraId="6506698F" w14:textId="6AF4D870" w:rsidR="0096206B" w:rsidRPr="008F1C4A" w:rsidRDefault="0096206B" w:rsidP="008F1C4A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Expansion</w:t>
      </w:r>
      <w:r w:rsidRPr="0096206B">
        <w:rPr>
          <w:rFonts w:ascii="Cambria" w:hAnsi="Cambria"/>
        </w:rPr>
        <w:t>: The hot, high-pressure air expands through the turbine, producing work output.</w:t>
      </w:r>
      <w:r w:rsidR="008F1C4A" w:rsidRPr="008F1C4A">
        <w:rPr>
          <w:rFonts w:ascii="Cambria" w:hAnsi="Cambria"/>
        </w:rPr>
        <w:t xml:space="preserve"> </w:t>
      </w:r>
      <w:r w:rsidR="008F1C4A">
        <w:rPr>
          <w:rFonts w:ascii="Cambria" w:hAnsi="Cambria"/>
        </w:rPr>
        <w:t>This expansion is non-isentropic.</w:t>
      </w:r>
    </w:p>
    <w:p w14:paraId="22CD676A" w14:textId="420C77F4" w:rsidR="0096206B" w:rsidRPr="0096206B" w:rsidRDefault="0096206B" w:rsidP="0096206B">
      <w:pPr>
        <w:pStyle w:val="ListParagraph"/>
        <w:numPr>
          <w:ilvl w:val="0"/>
          <w:numId w:val="8"/>
        </w:numPr>
        <w:spacing w:before="120" w:after="120" w:line="276" w:lineRule="auto"/>
        <w:jc w:val="both"/>
        <w:rPr>
          <w:rFonts w:ascii="Cambria" w:hAnsi="Cambria"/>
        </w:rPr>
      </w:pPr>
      <w:r w:rsidRPr="0096206B">
        <w:rPr>
          <w:rFonts w:ascii="Cambria" w:hAnsi="Cambria"/>
          <w:b/>
          <w:bCs/>
        </w:rPr>
        <w:t>Isobaric Heat Rejection</w:t>
      </w:r>
      <w:r w:rsidRPr="0096206B">
        <w:rPr>
          <w:rFonts w:ascii="Cambria" w:hAnsi="Cambria"/>
        </w:rPr>
        <w:t>: The remaining heat is expelled, returning the air to its initial state.</w:t>
      </w:r>
    </w:p>
    <w:p w14:paraId="3E82F268" w14:textId="2767BD9B" w:rsidR="004F0054" w:rsidRPr="00B21023" w:rsidRDefault="004F0054" w:rsidP="00B21023">
      <w:pPr>
        <w:spacing w:before="120" w:after="120" w:line="276" w:lineRule="auto"/>
        <w:jc w:val="both"/>
        <w:rPr>
          <w:rFonts w:ascii="Cambria" w:hAnsi="Cambria"/>
          <w:u w:val="single"/>
        </w:rPr>
      </w:pPr>
      <w:r w:rsidRPr="00B21023">
        <w:rPr>
          <w:rFonts w:ascii="Cambria" w:hAnsi="Cambria"/>
          <w:u w:val="single"/>
        </w:rPr>
        <w:t>Assumptions</w:t>
      </w:r>
      <w:r w:rsidR="0096206B" w:rsidRPr="00B21023">
        <w:rPr>
          <w:rFonts w:ascii="Cambria" w:hAnsi="Cambria"/>
          <w:u w:val="single"/>
        </w:rPr>
        <w:t xml:space="preserve"> of the </w:t>
      </w:r>
      <w:r w:rsidR="00E7792B">
        <w:rPr>
          <w:rFonts w:ascii="Cambria" w:hAnsi="Cambria"/>
          <w:u w:val="single"/>
        </w:rPr>
        <w:t xml:space="preserve">Ideal </w:t>
      </w:r>
      <w:r w:rsidR="0096206B" w:rsidRPr="00B21023">
        <w:rPr>
          <w:rFonts w:ascii="Cambria" w:hAnsi="Cambria"/>
          <w:u w:val="single"/>
        </w:rPr>
        <w:t>Air-Standard Brayton Cycle</w:t>
      </w:r>
    </w:p>
    <w:p w14:paraId="2F22D40E" w14:textId="4F1CF6A5" w:rsidR="0096206B" w:rsidRDefault="004F0054" w:rsidP="00F0382D">
      <w:pPr>
        <w:spacing w:before="120" w:after="120" w:line="276" w:lineRule="auto"/>
        <w:jc w:val="both"/>
        <w:rPr>
          <w:rFonts w:ascii="Cambria" w:hAnsi="Cambria"/>
        </w:rPr>
      </w:pPr>
      <w:r w:rsidRPr="004F0054">
        <w:rPr>
          <w:rFonts w:ascii="Cambria" w:hAnsi="Cambria"/>
        </w:rPr>
        <w:t>An idealization often used in the study of open gas turbine power plants is that of an</w:t>
      </w:r>
      <w:r w:rsidR="007C18B1">
        <w:rPr>
          <w:rFonts w:ascii="Cambria" w:hAnsi="Cambria"/>
        </w:rPr>
        <w:t xml:space="preserve"> ideal</w:t>
      </w:r>
      <w:r w:rsidRPr="004F0054">
        <w:rPr>
          <w:rFonts w:ascii="Cambria" w:hAnsi="Cambria"/>
        </w:rPr>
        <w:t xml:space="preserve"> air-standard analysis. In an </w:t>
      </w:r>
      <w:r w:rsidR="007C18B1">
        <w:rPr>
          <w:rFonts w:ascii="Cambria" w:hAnsi="Cambria"/>
        </w:rPr>
        <w:t xml:space="preserve">ideal </w:t>
      </w:r>
      <w:r w:rsidRPr="004F0054">
        <w:rPr>
          <w:rFonts w:ascii="Cambria" w:hAnsi="Cambria"/>
        </w:rPr>
        <w:t xml:space="preserve">air-standard analysis </w:t>
      </w:r>
      <w:r w:rsidR="00E7792B">
        <w:rPr>
          <w:rFonts w:ascii="Cambria" w:hAnsi="Cambria"/>
        </w:rPr>
        <w:t>several</w:t>
      </w:r>
      <w:r w:rsidRPr="004F0054">
        <w:rPr>
          <w:rFonts w:ascii="Cambria" w:hAnsi="Cambria"/>
        </w:rPr>
        <w:t xml:space="preserve"> assumptions are made</w:t>
      </w:r>
      <w:sdt>
        <w:sdtPr>
          <w:rPr>
            <w:rFonts w:ascii="Cambria" w:hAnsi="Cambria"/>
          </w:rPr>
          <w:id w:val="1706907718"/>
          <w:citation/>
        </w:sdtPr>
        <w:sdtContent>
          <w:r>
            <w:rPr>
              <w:rFonts w:ascii="Cambria" w:hAnsi="Cambria"/>
            </w:rPr>
            <w:fldChar w:fldCharType="begin"/>
          </w:r>
          <w:r w:rsidRPr="004F0054">
            <w:rPr>
              <w:rFonts w:ascii="Cambria" w:hAnsi="Cambria"/>
            </w:rPr>
            <w:instrText xml:space="preserve"> CITATION Mor14 \l 3082 </w:instrText>
          </w:r>
          <w:r>
            <w:rPr>
              <w:rFonts w:ascii="Cambria" w:hAnsi="Cambria"/>
            </w:rPr>
            <w:fldChar w:fldCharType="separate"/>
          </w:r>
          <w:r w:rsidRPr="004F0054">
            <w:rPr>
              <w:rFonts w:ascii="Cambria" w:hAnsi="Cambria"/>
              <w:noProof/>
            </w:rPr>
            <w:t xml:space="preserve"> (Moran, Shapiro, Boettner, &amp; Bailey, 2014)</w:t>
          </w:r>
          <w:r>
            <w:rPr>
              <w:rFonts w:ascii="Cambria" w:hAnsi="Cambria"/>
            </w:rPr>
            <w:fldChar w:fldCharType="end"/>
          </w:r>
        </w:sdtContent>
      </w:sdt>
      <w:r w:rsidR="00BD7424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925002894"/>
          <w:citation/>
        </w:sdtPr>
        <w:sdtContent>
          <w:r w:rsidR="00BD7424">
            <w:rPr>
              <w:rFonts w:ascii="Cambria" w:hAnsi="Cambria"/>
            </w:rPr>
            <w:fldChar w:fldCharType="begin"/>
          </w:r>
          <w:r w:rsidR="00BD7424" w:rsidRPr="00BD7424">
            <w:rPr>
              <w:rFonts w:ascii="Cambria" w:hAnsi="Cambria"/>
            </w:rPr>
            <w:instrText xml:space="preserve"> CITATION Sar01 \l 3082 </w:instrText>
          </w:r>
          <w:r w:rsidR="00BD7424">
            <w:rPr>
              <w:rFonts w:ascii="Cambria" w:hAnsi="Cambria"/>
            </w:rPr>
            <w:fldChar w:fldCharType="separate"/>
          </w:r>
          <w:r w:rsidR="00BD7424" w:rsidRPr="00BD7424">
            <w:rPr>
              <w:rFonts w:ascii="Cambria" w:hAnsi="Cambria"/>
              <w:noProof/>
            </w:rPr>
            <w:t>(Saravanamuttoo, Cohen, &amp; GFC Rogers, 2001)</w:t>
          </w:r>
          <w:r w:rsidR="00BD7424">
            <w:rPr>
              <w:rFonts w:ascii="Cambria" w:hAnsi="Cambria"/>
            </w:rPr>
            <w:fldChar w:fldCharType="end"/>
          </w:r>
        </w:sdtContent>
      </w:sdt>
      <w:r w:rsidR="00BD7424">
        <w:rPr>
          <w:rFonts w:ascii="Cambria" w:hAnsi="Cambria"/>
        </w:rPr>
        <w:t>:</w:t>
      </w:r>
    </w:p>
    <w:p w14:paraId="4CD89C1C" w14:textId="64DD9C4B" w:rsidR="00F0382D" w:rsidRPr="00F0382D" w:rsidRDefault="00F0382D" w:rsidP="00F0382D">
      <w:pPr>
        <w:pStyle w:val="ListParagraph"/>
        <w:numPr>
          <w:ilvl w:val="0"/>
          <w:numId w:val="13"/>
        </w:numPr>
        <w:spacing w:before="120" w:after="120" w:line="276" w:lineRule="auto"/>
        <w:jc w:val="both"/>
        <w:rPr>
          <w:rFonts w:ascii="Cambria" w:hAnsi="Cambria"/>
        </w:rPr>
      </w:pPr>
      <w:r w:rsidRPr="00F0382D">
        <w:rPr>
          <w:rFonts w:ascii="Cambria" w:hAnsi="Cambria"/>
        </w:rPr>
        <w:t>Compression and expansion processes are reversible and adiabatic (i.e. isentropic).</w:t>
      </w:r>
    </w:p>
    <w:p w14:paraId="2CE9C9FF" w14:textId="1A024A00" w:rsidR="00F0382D" w:rsidRPr="00F0382D" w:rsidRDefault="00F0382D" w:rsidP="00F0382D">
      <w:pPr>
        <w:pStyle w:val="ListParagraph"/>
        <w:numPr>
          <w:ilvl w:val="0"/>
          <w:numId w:val="13"/>
        </w:numPr>
        <w:spacing w:before="120" w:after="120" w:line="276" w:lineRule="auto"/>
        <w:jc w:val="both"/>
        <w:rPr>
          <w:rFonts w:ascii="Cambria" w:hAnsi="Cambria"/>
        </w:rPr>
      </w:pPr>
      <w:r w:rsidRPr="00F0382D">
        <w:rPr>
          <w:rFonts w:ascii="Cambria" w:hAnsi="Cambria"/>
        </w:rPr>
        <w:t>The change of kinetic energy of the working fluid between the inlet and the outlet of each component is negligible.</w:t>
      </w:r>
    </w:p>
    <w:p w14:paraId="1FF6FDBA" w14:textId="66A318FB" w:rsidR="00F0382D" w:rsidRPr="00F0382D" w:rsidRDefault="00F0382D" w:rsidP="00F0382D">
      <w:pPr>
        <w:pStyle w:val="ListParagraph"/>
        <w:numPr>
          <w:ilvl w:val="0"/>
          <w:numId w:val="13"/>
        </w:numPr>
        <w:spacing w:before="120" w:after="120" w:line="276" w:lineRule="auto"/>
        <w:jc w:val="both"/>
        <w:rPr>
          <w:rFonts w:ascii="Cambria" w:hAnsi="Cambria"/>
        </w:rPr>
      </w:pPr>
      <w:r w:rsidRPr="00F0382D">
        <w:rPr>
          <w:rFonts w:ascii="Cambria" w:hAnsi="Cambria"/>
        </w:rPr>
        <w:t>No pressure losses in the inlet ducting, combustion chamber, heat exchangers, intercoolers, exhaust ducting and any other ducting.</w:t>
      </w:r>
    </w:p>
    <w:p w14:paraId="617083FD" w14:textId="7E9CF655" w:rsidR="00F0382D" w:rsidRPr="00F0382D" w:rsidRDefault="00F0382D" w:rsidP="00F0382D">
      <w:pPr>
        <w:pStyle w:val="ListParagraph"/>
        <w:numPr>
          <w:ilvl w:val="0"/>
          <w:numId w:val="13"/>
        </w:numPr>
        <w:spacing w:before="120" w:after="120" w:line="276" w:lineRule="auto"/>
        <w:jc w:val="both"/>
        <w:rPr>
          <w:rFonts w:ascii="Cambria" w:hAnsi="Cambria"/>
        </w:rPr>
      </w:pPr>
      <w:r w:rsidRPr="00F0382D">
        <w:rPr>
          <w:rFonts w:ascii="Cambria" w:hAnsi="Cambria"/>
        </w:rPr>
        <w:t>Perfect gas behavior (constant cp, cv).</w:t>
      </w:r>
    </w:p>
    <w:p w14:paraId="34845C53" w14:textId="0A692429" w:rsidR="00F0382D" w:rsidRPr="00F0382D" w:rsidRDefault="00F0382D" w:rsidP="00F0382D">
      <w:pPr>
        <w:pStyle w:val="ListParagraph"/>
        <w:numPr>
          <w:ilvl w:val="0"/>
          <w:numId w:val="13"/>
        </w:numPr>
        <w:spacing w:before="120" w:after="120" w:line="276" w:lineRule="auto"/>
        <w:jc w:val="both"/>
        <w:rPr>
          <w:rFonts w:ascii="Cambria" w:hAnsi="Cambria"/>
        </w:rPr>
      </w:pPr>
      <w:r w:rsidRPr="00F0382D">
        <w:rPr>
          <w:rFonts w:ascii="Cambria" w:hAnsi="Cambria"/>
        </w:rPr>
        <w:t>Mass flow of gas is constant along the cycle.</w:t>
      </w:r>
    </w:p>
    <w:p w14:paraId="54D6A6B4" w14:textId="1151CE6F" w:rsidR="00F0382D" w:rsidRPr="00F0382D" w:rsidRDefault="00F0382D" w:rsidP="00F0382D">
      <w:pPr>
        <w:pStyle w:val="ListParagraph"/>
        <w:numPr>
          <w:ilvl w:val="0"/>
          <w:numId w:val="13"/>
        </w:numPr>
        <w:spacing w:before="120" w:after="120" w:line="276" w:lineRule="auto"/>
        <w:jc w:val="both"/>
        <w:rPr>
          <w:rFonts w:ascii="Cambria" w:hAnsi="Cambria"/>
        </w:rPr>
      </w:pPr>
      <w:r w:rsidRPr="00F0382D">
        <w:rPr>
          <w:rFonts w:ascii="Cambria" w:hAnsi="Cambria"/>
        </w:rPr>
        <w:lastRenderedPageBreak/>
        <w:t>Heat transfer in the heat-exchangers is complete - no difference between the open and closed cycles.</w:t>
      </w:r>
    </w:p>
    <w:p w14:paraId="5C3776AA" w14:textId="77D7151C" w:rsidR="00F0382D" w:rsidRDefault="00F0382D" w:rsidP="00F0382D">
      <w:pPr>
        <w:pStyle w:val="ListParagraph"/>
        <w:numPr>
          <w:ilvl w:val="0"/>
          <w:numId w:val="13"/>
        </w:numPr>
        <w:spacing w:before="120" w:after="120" w:line="276" w:lineRule="auto"/>
        <w:jc w:val="both"/>
        <w:rPr>
          <w:rFonts w:ascii="Cambria" w:hAnsi="Cambria"/>
        </w:rPr>
      </w:pPr>
      <w:r w:rsidRPr="00F0382D">
        <w:rPr>
          <w:rFonts w:ascii="Cambria" w:hAnsi="Cambria"/>
        </w:rPr>
        <w:t>The temperature rise that would be brought about by combustion is accomplished by a heat transfer from an external source. Avoids complexity of combustion process and the change in composition during combustion.</w:t>
      </w:r>
    </w:p>
    <w:p w14:paraId="7905C3B9" w14:textId="192E53A7" w:rsidR="00E7792B" w:rsidRDefault="00E7792B" w:rsidP="00E7792B">
      <w:pPr>
        <w:spacing w:before="120" w:after="120" w:line="276" w:lineRule="auto"/>
        <w:jc w:val="both"/>
        <w:rPr>
          <w:rFonts w:ascii="Cambria" w:hAnsi="Cambria"/>
          <w:u w:val="single"/>
        </w:rPr>
      </w:pPr>
      <w:r>
        <w:rPr>
          <w:rFonts w:ascii="Cambria" w:hAnsi="Cambria"/>
          <w:u w:val="single"/>
        </w:rPr>
        <w:t>Irreversibilites</w:t>
      </w:r>
    </w:p>
    <w:p w14:paraId="78DAD0A9" w14:textId="3FA925D3" w:rsidR="00E7792B" w:rsidRPr="00E7792B" w:rsidRDefault="00E7792B" w:rsidP="00E7792B">
      <w:p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(explanation about thermodynamic irreversibilities)</w:t>
      </w:r>
    </w:p>
    <w:p w14:paraId="49B565AA" w14:textId="4FD48E14" w:rsidR="00671E24" w:rsidRDefault="00671E24" w:rsidP="00671E24">
      <w:pPr>
        <w:pStyle w:val="Heading2"/>
      </w:pPr>
      <w:r>
        <w:t>Model architecture</w:t>
      </w:r>
    </w:p>
    <w:p w14:paraId="487FC764" w14:textId="42FEFF6D" w:rsidR="004F0054" w:rsidRDefault="004F0054" w:rsidP="00671E24">
      <w:p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 this section, the</w:t>
      </w:r>
      <w:r w:rsidR="00671E24" w:rsidRPr="00671E24">
        <w:rPr>
          <w:rFonts w:ascii="Cambria" w:hAnsi="Cambria"/>
        </w:rPr>
        <w:t xml:space="preserve"> </w:t>
      </w:r>
      <w:r w:rsidR="00671E24" w:rsidRPr="00671E24">
        <w:rPr>
          <w:rFonts w:ascii="Cambria" w:hAnsi="Cambria"/>
          <w:b/>
          <w:bCs/>
        </w:rPr>
        <w:t>Brayton Cycle Model Architecture Diagram</w:t>
      </w:r>
      <w:r w:rsidR="00671E24" w:rsidRPr="00671E24">
        <w:rPr>
          <w:rFonts w:ascii="Cambria" w:hAnsi="Cambria"/>
        </w:rPr>
        <w:t xml:space="preserve"> </w:t>
      </w:r>
      <w:r>
        <w:rPr>
          <w:rFonts w:ascii="Cambria" w:hAnsi="Cambria"/>
        </w:rPr>
        <w:t>is presented to provide</w:t>
      </w:r>
      <w:r w:rsidR="00671E24" w:rsidRPr="00671E24">
        <w:rPr>
          <w:rFonts w:ascii="Cambria" w:hAnsi="Cambria"/>
        </w:rPr>
        <w:t xml:space="preserve"> a visual representation of </w:t>
      </w:r>
      <w:r w:rsidR="00FF5187">
        <w:rPr>
          <w:rFonts w:ascii="Cambria" w:hAnsi="Cambria"/>
        </w:rPr>
        <w:t>the structure of the code behind the simulation:</w:t>
      </w:r>
      <w:r w:rsidR="00671E24" w:rsidRPr="00671E24">
        <w:rPr>
          <w:rFonts w:ascii="Cambria" w:hAnsi="Cambria"/>
        </w:rPr>
        <w:t xml:space="preserve"> </w:t>
      </w:r>
    </w:p>
    <w:p w14:paraId="7874CFE5" w14:textId="10233014" w:rsidR="00370D04" w:rsidRDefault="00FC560E" w:rsidP="00671E24">
      <w:pPr>
        <w:spacing w:before="120" w:after="120"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30F82DAF" wp14:editId="4FCE49A3">
            <wp:extent cx="5731510" cy="3304540"/>
            <wp:effectExtent l="0" t="0" r="2540" b="0"/>
            <wp:docPr id="737105504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05504" name="Picture 1" descr="A diagram of a data flow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82EF" w14:textId="2B261607" w:rsidR="00FD562C" w:rsidRDefault="00FD562C" w:rsidP="00FD562C">
      <w:pPr>
        <w:pStyle w:val="Caption"/>
        <w:rPr>
          <w:rFonts w:ascii="Cambria" w:hAnsi="Cambr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Air-Standard Brayton Cycle architecture (author)</w:t>
      </w:r>
    </w:p>
    <w:p w14:paraId="61084CEC" w14:textId="6AFB6FA0" w:rsidR="004F0054" w:rsidRDefault="007A5EDE" w:rsidP="00671E24">
      <w:pPr>
        <w:spacing w:before="120" w:after="120"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4AF64DA0" wp14:editId="4EC369DB">
            <wp:extent cx="5731510" cy="2183765"/>
            <wp:effectExtent l="0" t="0" r="2540" b="6985"/>
            <wp:docPr id="734536326" name="Picture 1" descr="A diagram of a data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36326" name="Picture 1" descr="A diagram of a data flow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595A" w14:textId="0497722B" w:rsidR="00834AB2" w:rsidRDefault="00834AB2" w:rsidP="00834AB2">
      <w:pPr>
        <w:pStyle w:val="Caption"/>
        <w:rPr>
          <w:rFonts w:ascii="Cambria" w:hAnsi="Cambria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562C">
        <w:rPr>
          <w:noProof/>
        </w:rPr>
        <w:t>3</w:t>
      </w:r>
      <w:r>
        <w:fldChar w:fldCharType="end"/>
      </w:r>
      <w:r w:rsidR="007A5EDE">
        <w:t xml:space="preserve"> Ideal Air-</w:t>
      </w:r>
      <w:r w:rsidR="00F93475">
        <w:t>Standard Brayton</w:t>
      </w:r>
      <w:r>
        <w:t xml:space="preserve"> Cycle architecture</w:t>
      </w:r>
      <w:sdt>
        <w:sdtPr>
          <w:id w:val="1071394620"/>
          <w:citation/>
        </w:sdtPr>
        <w:sdtContent>
          <w:r w:rsidR="00522632">
            <w:fldChar w:fldCharType="begin"/>
          </w:r>
          <w:r w:rsidR="00522632" w:rsidRPr="00522632">
            <w:instrText xml:space="preserve"> CITATION Pre \l 3082 </w:instrText>
          </w:r>
          <w:r w:rsidR="00522632">
            <w:fldChar w:fldCharType="separate"/>
          </w:r>
          <w:r w:rsidR="00522632" w:rsidRPr="00522632">
            <w:rPr>
              <w:noProof/>
            </w:rPr>
            <w:t xml:space="preserve"> (author)</w:t>
          </w:r>
          <w:r w:rsidR="00522632">
            <w:fldChar w:fldCharType="end"/>
          </w:r>
        </w:sdtContent>
      </w:sdt>
    </w:p>
    <w:p w14:paraId="11FCBA45" w14:textId="66E08B23" w:rsidR="00671E24" w:rsidRPr="00671E24" w:rsidRDefault="00671E24" w:rsidP="00671E24">
      <w:pPr>
        <w:pStyle w:val="Heading2"/>
      </w:pPr>
      <w:r w:rsidRPr="00671E24">
        <w:lastRenderedPageBreak/>
        <w:t>Code Structure</w:t>
      </w:r>
    </w:p>
    <w:p w14:paraId="2782A7C9" w14:textId="77777777" w:rsidR="00671E24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The code is organized into modular functions sourced from different imported modules:</w:t>
      </w:r>
    </w:p>
    <w:p w14:paraId="00E1BB4B" w14:textId="6EDAD827" w:rsidR="00A8315C" w:rsidRDefault="00105AFB" w:rsidP="00105AFB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initial_conditions</w:t>
      </w:r>
      <w:r w:rsidR="00A8315C">
        <w:rPr>
          <w:rFonts w:ascii="Cambria" w:hAnsi="Cambria"/>
        </w:rPr>
        <w:t>:</w:t>
      </w:r>
    </w:p>
    <w:p w14:paraId="5665D2F4" w14:textId="43BE9187" w:rsidR="00105AFB" w:rsidRPr="00105AFB" w:rsidRDefault="00105AFB" w:rsidP="00A8315C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Defines pressure (P1</w:t>
      </w:r>
      <w:r>
        <w:rPr>
          <w:rFonts w:ascii="Cambria" w:hAnsi="Cambria"/>
        </w:rPr>
        <w:t xml:space="preserve">, P2, P3, </w:t>
      </w:r>
      <w:r w:rsidRPr="00671E24">
        <w:rPr>
          <w:rFonts w:ascii="Cambria" w:hAnsi="Cambria"/>
        </w:rPr>
        <w:t>P4), temperature (T1, T3), and volumetric flow rate.</w:t>
      </w:r>
    </w:p>
    <w:p w14:paraId="0322BD62" w14:textId="77777777" w:rsidR="00105AFB" w:rsidRDefault="00671E24" w:rsidP="00671E24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fluid_propertie</w:t>
      </w:r>
      <w:r w:rsidR="00105AFB">
        <w:rPr>
          <w:rFonts w:ascii="Cambria" w:hAnsi="Cambria"/>
        </w:rPr>
        <w:t>s:</w:t>
      </w:r>
    </w:p>
    <w:p w14:paraId="5A6B7EC5" w14:textId="1B699AFC" w:rsidR="00671E24" w:rsidRPr="00671E24" w:rsidRDefault="00F93192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get_fluid_properties: retrieves enthalpy and relative pressure for states 1 and 3</w:t>
      </w:r>
      <w:r w:rsidR="00B120E8">
        <w:rPr>
          <w:rFonts w:ascii="Cambria" w:hAnsi="Cambria"/>
        </w:rPr>
        <w:t>.</w:t>
      </w:r>
      <w:r>
        <w:rPr>
          <w:rFonts w:ascii="Cambria" w:hAnsi="Cambria"/>
        </w:rPr>
        <w:t xml:space="preserve"> </w:t>
      </w:r>
    </w:p>
    <w:p w14:paraId="0DDA8C13" w14:textId="0755739A" w:rsidR="00105AFB" w:rsidRDefault="00671E24" w:rsidP="00671E24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general_functions</w:t>
      </w:r>
      <w:r w:rsidR="00105AFB">
        <w:rPr>
          <w:rFonts w:ascii="Cambria" w:hAnsi="Cambria"/>
        </w:rPr>
        <w:t>:</w:t>
      </w:r>
    </w:p>
    <w:p w14:paraId="25FE7EDD" w14:textId="77777777" w:rsid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compression_ratio: Calculates pressure compression ratio.</w:t>
      </w:r>
    </w:p>
    <w:p w14:paraId="30103A87" w14:textId="005DB53C" w:rsidR="00671E24" w:rsidRPr="00105AFB" w:rsidRDefault="00671E24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 w:rsidRPr="00105AFB">
        <w:rPr>
          <w:rFonts w:ascii="Cambria" w:hAnsi="Cambria"/>
        </w:rPr>
        <w:t>volumetric_to_mass_flow_rate: Converts volumetric to mass flow rate.</w:t>
      </w:r>
    </w:p>
    <w:p w14:paraId="481CF508" w14:textId="34583C28" w:rsidR="00105AFB" w:rsidRDefault="00F93192" w:rsidP="00671E24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ideal</w:t>
      </w:r>
      <w:r>
        <w:rPr>
          <w:rFonts w:ascii="Cambria" w:hAnsi="Cambria"/>
          <w:lang w:val="es-ES"/>
        </w:rPr>
        <w:t>_brayton_cycle</w:t>
      </w:r>
      <w:r w:rsidR="00105AFB">
        <w:rPr>
          <w:rFonts w:ascii="Cambria" w:hAnsi="Cambria"/>
        </w:rPr>
        <w:t>:</w:t>
      </w:r>
    </w:p>
    <w:p w14:paraId="79A229A7" w14:textId="2E187BEE" w:rsidR="00671E24" w:rsidRPr="00671E24" w:rsidRDefault="00B120E8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="00671E24" w:rsidRPr="00671E24">
        <w:rPr>
          <w:rFonts w:ascii="Cambria" w:hAnsi="Cambria"/>
        </w:rPr>
        <w:t>sentropic_compression: Computes temperature T2 and compressor work.</w:t>
      </w:r>
    </w:p>
    <w:p w14:paraId="1480BD94" w14:textId="356F6424" w:rsidR="00105AFB" w:rsidRDefault="00B120E8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="00671E24" w:rsidRPr="00671E24">
        <w:rPr>
          <w:rFonts w:ascii="Cambria" w:hAnsi="Cambria"/>
        </w:rPr>
        <w:t>sobaric_heat_addition: Computes heat input Qin across constant pressure.</w:t>
      </w:r>
    </w:p>
    <w:p w14:paraId="0585B305" w14:textId="373CDF70" w:rsidR="00105AFB" w:rsidRDefault="00B120E8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="00671E24" w:rsidRPr="00105AFB">
        <w:rPr>
          <w:rFonts w:ascii="Cambria" w:hAnsi="Cambria"/>
        </w:rPr>
        <w:t>sentropic_expansion: Computes temperature T4 and turbine work Wt.</w:t>
      </w:r>
    </w:p>
    <w:p w14:paraId="03090564" w14:textId="0887BE70" w:rsidR="00671E24" w:rsidRDefault="00B120E8" w:rsidP="00105AFB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</w:t>
      </w:r>
      <w:r w:rsidR="00671E24" w:rsidRPr="00105AFB">
        <w:rPr>
          <w:rFonts w:ascii="Cambria" w:hAnsi="Cambria"/>
        </w:rPr>
        <w:t>sobaric_heat_rejection: Computes heat rejection Qout.</w:t>
      </w:r>
    </w:p>
    <w:p w14:paraId="5FAB3A31" w14:textId="78571617" w:rsidR="00B120E8" w:rsidRDefault="00B120E8" w:rsidP="00B120E8">
      <w:pPr>
        <w:numPr>
          <w:ilvl w:val="0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irreversibilities_brayton_cycle:</w:t>
      </w:r>
    </w:p>
    <w:p w14:paraId="0533FFC6" w14:textId="23A703E5" w:rsidR="00B120E8" w:rsidRPr="00105AFB" w:rsidRDefault="00B120E8" w:rsidP="00B120E8">
      <w:pPr>
        <w:numPr>
          <w:ilvl w:val="1"/>
          <w:numId w:val="1"/>
        </w:numPr>
        <w:spacing w:before="120" w:after="120"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Calculates the actual work in and out including the turbine and compressor effiencies. </w:t>
      </w:r>
    </w:p>
    <w:p w14:paraId="2035FF7D" w14:textId="1C687CDB" w:rsidR="00671E24" w:rsidRPr="00671E24" w:rsidRDefault="00671E24" w:rsidP="00671E24">
      <w:pPr>
        <w:pStyle w:val="Heading2"/>
      </w:pPr>
      <w:r w:rsidRPr="00671E24">
        <w:t>Performance Metrics</w:t>
      </w:r>
    </w:p>
    <w:p w14:paraId="52972777" w14:textId="45D7BA69" w:rsidR="00671E24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The simulation determines key cycle performance metrics</w:t>
      </w:r>
      <w:r w:rsidR="00681105">
        <w:rPr>
          <w:rFonts w:ascii="Cambria" w:hAnsi="Cambria"/>
        </w:rPr>
        <w:t xml:space="preserve"> </w:t>
      </w:r>
      <w:sdt>
        <w:sdtPr>
          <w:rPr>
            <w:rFonts w:ascii="Cambria" w:hAnsi="Cambria"/>
          </w:rPr>
          <w:id w:val="-2049288853"/>
          <w:citation/>
        </w:sdtPr>
        <w:sdtContent>
          <w:r w:rsidR="00681105">
            <w:rPr>
              <w:rFonts w:ascii="Cambria" w:hAnsi="Cambria"/>
            </w:rPr>
            <w:fldChar w:fldCharType="begin"/>
          </w:r>
          <w:r w:rsidR="00681105" w:rsidRPr="00681105">
            <w:rPr>
              <w:rFonts w:ascii="Cambria" w:hAnsi="Cambria"/>
            </w:rPr>
            <w:instrText xml:space="preserve"> CITATION Mor14 \l 3082 </w:instrText>
          </w:r>
          <w:r w:rsidR="00681105">
            <w:rPr>
              <w:rFonts w:ascii="Cambria" w:hAnsi="Cambria"/>
            </w:rPr>
            <w:fldChar w:fldCharType="separate"/>
          </w:r>
          <w:r w:rsidR="00681105" w:rsidRPr="00681105">
            <w:rPr>
              <w:rFonts w:ascii="Cambria" w:hAnsi="Cambria"/>
              <w:noProof/>
            </w:rPr>
            <w:t>(Moran, Shapiro, Boettner, &amp; Bailey, 2014)</w:t>
          </w:r>
          <w:r w:rsidR="00681105">
            <w:rPr>
              <w:rFonts w:ascii="Cambria" w:hAnsi="Cambria"/>
            </w:rPr>
            <w:fldChar w:fldCharType="end"/>
          </w:r>
        </w:sdtContent>
      </w:sdt>
      <w:r w:rsidRPr="00671E24">
        <w:rPr>
          <w:rFonts w:ascii="Cambria" w:hAnsi="Cambria"/>
        </w:rPr>
        <w:t>:</w:t>
      </w:r>
    </w:p>
    <w:p w14:paraId="0BD1DDE5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Net Work Output:</w:t>
      </w:r>
    </w:p>
    <w:p w14:paraId="0D3A4F9E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Wnet_work_based = Wt - Wc (direct work output calculation).</w:t>
      </w:r>
    </w:p>
    <w:p w14:paraId="110D276F" w14:textId="68F0E2A6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 xml:space="preserve">Wnet_heat_based = Qin </w:t>
      </w:r>
      <w:r w:rsidR="00DF511F">
        <w:rPr>
          <w:rFonts w:ascii="Cambria" w:hAnsi="Cambria"/>
        </w:rPr>
        <w:t>-</w:t>
      </w:r>
      <w:r w:rsidRPr="00671E24">
        <w:rPr>
          <w:rFonts w:ascii="Cambria" w:hAnsi="Cambria"/>
        </w:rPr>
        <w:t xml:space="preserve"> Qout (energy balance method).</w:t>
      </w:r>
    </w:p>
    <w:p w14:paraId="40AE884B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Efficiency Calculation:</w:t>
      </w:r>
    </w:p>
    <w:p w14:paraId="02AF7D37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efficiency = Wnet_work_based / Qin</w:t>
      </w:r>
    </w:p>
    <w:p w14:paraId="216363E6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Power Output:</w:t>
      </w:r>
    </w:p>
    <w:p w14:paraId="7CFC3BE1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power_output = Wnet_work_based * m_dot</w:t>
      </w:r>
    </w:p>
    <w:p w14:paraId="739228F6" w14:textId="77777777" w:rsidR="00671E24" w:rsidRPr="00671E24" w:rsidRDefault="00671E24" w:rsidP="00671E24">
      <w:pPr>
        <w:numPr>
          <w:ilvl w:val="0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Back Work Ratio (BWR):</w:t>
      </w:r>
    </w:p>
    <w:p w14:paraId="493A59E1" w14:textId="77777777" w:rsidR="00671E24" w:rsidRPr="00671E24" w:rsidRDefault="00671E24" w:rsidP="00671E24">
      <w:pPr>
        <w:numPr>
          <w:ilvl w:val="1"/>
          <w:numId w:val="3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bwr = Wc / Wt</w:t>
      </w:r>
    </w:p>
    <w:p w14:paraId="5E96F7F6" w14:textId="7D32D3D5" w:rsidR="00671E24" w:rsidRPr="00671E24" w:rsidRDefault="00671E24" w:rsidP="00671E24">
      <w:pPr>
        <w:pStyle w:val="Heading2"/>
      </w:pPr>
      <w:r w:rsidRPr="00671E24">
        <w:t>Results &amp; Improvements</w:t>
      </w:r>
    </w:p>
    <w:p w14:paraId="60B36F6F" w14:textId="77777777" w:rsidR="00671E24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>The code systematically computes and prints:</w:t>
      </w:r>
    </w:p>
    <w:p w14:paraId="5EC6D1B6" w14:textId="77777777" w:rsidR="00671E24" w:rsidRPr="00671E24" w:rsidRDefault="00671E24" w:rsidP="00671E24">
      <w:pPr>
        <w:numPr>
          <w:ilvl w:val="0"/>
          <w:numId w:val="4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Stage-wise temperatures, work values, and heat transfer values</w:t>
      </w:r>
      <w:r w:rsidRPr="00671E24">
        <w:rPr>
          <w:rFonts w:ascii="Cambria" w:hAnsi="Cambria"/>
        </w:rPr>
        <w:t>.</w:t>
      </w:r>
    </w:p>
    <w:p w14:paraId="0C680B89" w14:textId="77777777" w:rsidR="00671E24" w:rsidRPr="00671E24" w:rsidRDefault="00671E24" w:rsidP="00671E24">
      <w:pPr>
        <w:numPr>
          <w:ilvl w:val="0"/>
          <w:numId w:val="4"/>
        </w:num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  <w:b/>
          <w:bCs/>
        </w:rPr>
        <w:t>Net power output and efficiency</w:t>
      </w:r>
      <w:r w:rsidRPr="00671E24">
        <w:rPr>
          <w:rFonts w:ascii="Cambria" w:hAnsi="Cambria"/>
        </w:rPr>
        <w:t>.</w:t>
      </w:r>
    </w:p>
    <w:p w14:paraId="0B353EE8" w14:textId="00CA296D" w:rsidR="00BD7424" w:rsidRDefault="00BD7424" w:rsidP="00671E24">
      <w:pPr>
        <w:pStyle w:val="Heading2"/>
      </w:pPr>
      <w:r>
        <w:lastRenderedPageBreak/>
        <w:t>Model validation</w:t>
      </w:r>
    </w:p>
    <w:p w14:paraId="38841100" w14:textId="21BB39D1" w:rsidR="00BD7424" w:rsidRDefault="00BD7424" w:rsidP="00BD7424">
      <w:r>
        <w:t>The model has been validated against</w:t>
      </w:r>
      <w:r w:rsidR="00890AE6">
        <w:t xml:space="preserve"> </w:t>
      </w:r>
      <w:sdt>
        <w:sdtPr>
          <w:id w:val="-2032561492"/>
          <w:citation/>
        </w:sdtPr>
        <w:sdtContent>
          <w:r w:rsidR="00890AE6">
            <w:fldChar w:fldCharType="begin"/>
          </w:r>
          <w:r w:rsidR="00890AE6" w:rsidRPr="00890AE6">
            <w:instrText xml:space="preserve"> CITATION Mor14 \l 3082 </w:instrText>
          </w:r>
          <w:r w:rsidR="00890AE6">
            <w:fldChar w:fldCharType="separate"/>
          </w:r>
          <w:r w:rsidR="00890AE6" w:rsidRPr="00890AE6">
            <w:rPr>
              <w:noProof/>
            </w:rPr>
            <w:t>(Moran, Shapiro, Boettner, &amp; Bailey, 2014)</w:t>
          </w:r>
          <w:r w:rsidR="00890AE6">
            <w:fldChar w:fldCharType="end"/>
          </w:r>
        </w:sdtContent>
      </w:sdt>
      <w:r w:rsidR="00890AE6">
        <w:t>:</w:t>
      </w:r>
    </w:p>
    <w:p w14:paraId="40E3DC75" w14:textId="0C9D625C" w:rsidR="00890AE6" w:rsidRDefault="00890AE6" w:rsidP="00890AE6">
      <w:pPr>
        <w:pStyle w:val="ListParagraph"/>
        <w:numPr>
          <w:ilvl w:val="0"/>
          <w:numId w:val="15"/>
        </w:numPr>
      </w:pPr>
      <w:r>
        <w:t xml:space="preserve">Example 9.4 </w:t>
      </w:r>
      <w:r w:rsidRPr="00890AE6">
        <w:t>Analyzing the Ideal Brayton Cycle</w:t>
      </w:r>
      <w:r>
        <w:t xml:space="preserve"> (page 529)</w:t>
      </w:r>
    </w:p>
    <w:p w14:paraId="177BBA3D" w14:textId="0B6B3FDE" w:rsidR="00890AE6" w:rsidRDefault="00890AE6" w:rsidP="00890AE6">
      <w:pPr>
        <w:pStyle w:val="ListParagraph"/>
        <w:numPr>
          <w:ilvl w:val="0"/>
          <w:numId w:val="15"/>
        </w:numPr>
      </w:pPr>
      <w:r>
        <w:t xml:space="preserve">Example 9.6 </w:t>
      </w:r>
      <w:r w:rsidRPr="00890AE6">
        <w:t>Evaluating Performance of a Brayton Cycle with Irreversibilities</w:t>
      </w:r>
      <w:r>
        <w:t xml:space="preserve"> (page 535)</w:t>
      </w:r>
    </w:p>
    <w:p w14:paraId="289C0474" w14:textId="0BA48ACA" w:rsidR="00090D37" w:rsidRDefault="00090D37" w:rsidP="00090D37">
      <w:r>
        <w:t xml:space="preserve">In addition, </w:t>
      </w:r>
      <w:r w:rsidR="00DA143E">
        <w:t>the model is used to perform a sensitivity analysis of the impact of the compression ratio on the thermal efficiency and net work output.</w:t>
      </w:r>
    </w:p>
    <w:p w14:paraId="1BE90A27" w14:textId="7BC47869" w:rsidR="0015265C" w:rsidRDefault="0015265C" w:rsidP="00090D37">
      <w:r>
        <w:t xml:space="preserve">From </w:t>
      </w:r>
      <w:sdt>
        <w:sdtPr>
          <w:id w:val="913745078"/>
          <w:citation/>
        </w:sdtPr>
        <w:sdtContent>
          <w:r>
            <w:fldChar w:fldCharType="begin"/>
          </w:r>
          <w:r w:rsidRPr="0015265C">
            <w:instrText xml:space="preserve"> CITATION Mor14 \l 3082 </w:instrText>
          </w:r>
          <w:r>
            <w:fldChar w:fldCharType="separate"/>
          </w:r>
          <w:r w:rsidRPr="0015265C">
            <w:rPr>
              <w:noProof/>
            </w:rPr>
            <w:t>(Moran, Shapiro, Boettner, &amp; Bailey, 2014)</w:t>
          </w:r>
          <w:r>
            <w:fldChar w:fldCharType="end"/>
          </w:r>
        </w:sdtContent>
      </w:sdt>
      <w:r>
        <w:t>, the expected relation of the thermal efficiency and the net work function of the compression ratio is the following</w:t>
      </w:r>
      <w:r w:rsidR="004C0661">
        <w:t xml:space="preserve"> (page 532)</w:t>
      </w:r>
      <w:r>
        <w:t>:</w:t>
      </w:r>
    </w:p>
    <w:p w14:paraId="3E0EA55D" w14:textId="536D12FC" w:rsidR="0015265C" w:rsidRDefault="0015265C" w:rsidP="0015265C">
      <w:pPr>
        <w:jc w:val="center"/>
      </w:pPr>
      <w:r>
        <w:rPr>
          <w:noProof/>
        </w:rPr>
        <w:drawing>
          <wp:inline distT="0" distB="0" distL="0" distR="0" wp14:anchorId="6D1D4AC2" wp14:editId="1A7E4177">
            <wp:extent cx="4211320" cy="3014946"/>
            <wp:effectExtent l="0" t="0" r="0" b="0"/>
            <wp:docPr id="742605284" name="Picture 1" descr="A graph of a press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5284" name="Picture 1" descr="A graph of a pressure&#10;&#10;AI-generated content may be incorrect."/>
                    <pic:cNvPicPr/>
                  </pic:nvPicPr>
                  <pic:blipFill rotWithShape="1">
                    <a:blip r:embed="rId10"/>
                    <a:srcRect b="31650"/>
                    <a:stretch/>
                  </pic:blipFill>
                  <pic:spPr bwMode="auto">
                    <a:xfrm>
                      <a:off x="0" y="0"/>
                      <a:ext cx="4228232" cy="3027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52831" w14:textId="00F578BB" w:rsidR="00DA143E" w:rsidRDefault="00DA143E" w:rsidP="00090D37">
      <w:r>
        <w:t>Simulation conditions:</w:t>
      </w:r>
    </w:p>
    <w:p w14:paraId="0754D373" w14:textId="389152E9" w:rsidR="00DA143E" w:rsidRDefault="00DA143E" w:rsidP="00DA143E">
      <w:pPr>
        <w:pStyle w:val="ListParagraph"/>
        <w:numPr>
          <w:ilvl w:val="0"/>
          <w:numId w:val="16"/>
        </w:numPr>
      </w:pPr>
      <w:r>
        <w:t>P1 = 100000 Pa</w:t>
      </w:r>
    </w:p>
    <w:p w14:paraId="02CF2902" w14:textId="0298A61F" w:rsidR="00610F09" w:rsidRDefault="00610F09" w:rsidP="00DA143E">
      <w:pPr>
        <w:pStyle w:val="ListParagraph"/>
        <w:numPr>
          <w:ilvl w:val="0"/>
          <w:numId w:val="16"/>
        </w:numPr>
      </w:pPr>
      <w:r>
        <w:t>rc = [8..50]</w:t>
      </w:r>
    </w:p>
    <w:p w14:paraId="7B17D57B" w14:textId="5C5BC7A8" w:rsidR="00610F09" w:rsidRDefault="00610F09" w:rsidP="00DA143E">
      <w:pPr>
        <w:pStyle w:val="ListParagraph"/>
        <w:numPr>
          <w:ilvl w:val="0"/>
          <w:numId w:val="16"/>
        </w:numPr>
      </w:pPr>
      <w:r>
        <w:t>T1 = 300 K</w:t>
      </w:r>
    </w:p>
    <w:p w14:paraId="5E242F6E" w14:textId="721CB422" w:rsidR="00610F09" w:rsidRDefault="00610F09" w:rsidP="00DA143E">
      <w:pPr>
        <w:pStyle w:val="ListParagraph"/>
        <w:numPr>
          <w:ilvl w:val="0"/>
          <w:numId w:val="16"/>
        </w:numPr>
      </w:pPr>
      <w:r>
        <w:t xml:space="preserve">T3 = </w:t>
      </w:r>
      <w:r w:rsidR="00783EDD">
        <w:t>1700</w:t>
      </w:r>
      <w:r>
        <w:t xml:space="preserve"> K</w:t>
      </w:r>
    </w:p>
    <w:p w14:paraId="3672582B" w14:textId="3CAA379E" w:rsidR="00610F09" w:rsidRDefault="00610F09" w:rsidP="00DA143E">
      <w:pPr>
        <w:pStyle w:val="ListParagraph"/>
        <w:numPr>
          <w:ilvl w:val="0"/>
          <w:numId w:val="16"/>
        </w:numPr>
      </w:pPr>
      <w:r>
        <w:t>Volumetric flow rate = 5 m</w:t>
      </w:r>
      <w:r>
        <w:rPr>
          <w:vertAlign w:val="superscript"/>
        </w:rPr>
        <w:t>3</w:t>
      </w:r>
      <w:r>
        <w:t>/s</w:t>
      </w:r>
    </w:p>
    <w:p w14:paraId="353E3705" w14:textId="1F792C43" w:rsidR="00610F09" w:rsidRDefault="00610F09" w:rsidP="00DA143E">
      <w:pPr>
        <w:pStyle w:val="ListParagraph"/>
        <w:numPr>
          <w:ilvl w:val="0"/>
          <w:numId w:val="16"/>
        </w:numPr>
      </w:pPr>
      <w:r>
        <w:t>Compressor and Turbine efficiency = 100%</w:t>
      </w:r>
    </w:p>
    <w:p w14:paraId="486E9CEB" w14:textId="17711DFF" w:rsidR="0015265C" w:rsidRDefault="00610F09" w:rsidP="00610F09">
      <w:r>
        <w:t>Result</w:t>
      </w:r>
      <w:r w:rsidR="0015265C">
        <w:t>s:</w:t>
      </w:r>
    </w:p>
    <w:p w14:paraId="7A8DDC40" w14:textId="564483C9" w:rsidR="00610F09" w:rsidRDefault="005E418F" w:rsidP="00610F0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809388" wp14:editId="2A54D1B8">
            <wp:extent cx="5731510" cy="2798445"/>
            <wp:effectExtent l="0" t="0" r="2540" b="1905"/>
            <wp:docPr id="1614767573" name="Picture 1" descr="A graph with a curv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67573" name="Picture 1" descr="A graph with a curved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3690" w14:textId="7B591A46" w:rsidR="00783EDD" w:rsidRPr="00BD7424" w:rsidRDefault="00783EDD" w:rsidP="00610F09">
      <w:r>
        <w:rPr>
          <w:noProof/>
        </w:rPr>
        <w:drawing>
          <wp:inline distT="0" distB="0" distL="0" distR="0" wp14:anchorId="2451EBAA" wp14:editId="5AFB73D5">
            <wp:extent cx="5731510" cy="2734945"/>
            <wp:effectExtent l="0" t="0" r="2540" b="8255"/>
            <wp:docPr id="44612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200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E899" w14:textId="4B0B4A7B" w:rsidR="00671E24" w:rsidRPr="00671E24" w:rsidRDefault="00671E24" w:rsidP="00671E24">
      <w:pPr>
        <w:pStyle w:val="Heading2"/>
      </w:pPr>
      <w:r w:rsidRPr="00671E24">
        <w:t>Conclusion</w:t>
      </w:r>
    </w:p>
    <w:p w14:paraId="6AA8A354" w14:textId="08808593" w:rsidR="005227A3" w:rsidRPr="00671E24" w:rsidRDefault="00671E24" w:rsidP="00671E24">
      <w:pPr>
        <w:spacing w:before="120" w:after="120" w:line="276" w:lineRule="auto"/>
        <w:jc w:val="both"/>
        <w:rPr>
          <w:rFonts w:ascii="Cambria" w:hAnsi="Cambria"/>
        </w:rPr>
      </w:pPr>
      <w:r w:rsidRPr="00671E24">
        <w:rPr>
          <w:rFonts w:ascii="Cambria" w:hAnsi="Cambria"/>
        </w:rPr>
        <w:t xml:space="preserve">This Brayton Cycle model </w:t>
      </w:r>
      <w:r w:rsidR="0015265C">
        <w:rPr>
          <w:rFonts w:ascii="Cambria" w:hAnsi="Cambria"/>
        </w:rPr>
        <w:t xml:space="preserve">accurately </w:t>
      </w:r>
      <w:r w:rsidR="005E418F">
        <w:rPr>
          <w:rFonts w:ascii="Cambria" w:hAnsi="Cambria"/>
        </w:rPr>
        <w:t>calculates</w:t>
      </w:r>
      <w:r w:rsidRPr="00671E24">
        <w:rPr>
          <w:rFonts w:ascii="Cambria" w:hAnsi="Cambria"/>
        </w:rPr>
        <w:t xml:space="preserve"> performance and provides insights into thermodynamic properties. </w:t>
      </w:r>
      <w:r w:rsidR="00DA143E">
        <w:rPr>
          <w:rFonts w:ascii="Cambria" w:hAnsi="Cambria"/>
        </w:rPr>
        <w:t>Can be used for further analysis such as Jet Engine simulation.</w:t>
      </w:r>
    </w:p>
    <w:sectPr w:rsidR="005227A3" w:rsidRPr="00671E24" w:rsidSect="000358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3A44"/>
    <w:multiLevelType w:val="hybridMultilevel"/>
    <w:tmpl w:val="06E84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607C7"/>
    <w:multiLevelType w:val="hybridMultilevel"/>
    <w:tmpl w:val="0138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F688F"/>
    <w:multiLevelType w:val="multilevel"/>
    <w:tmpl w:val="091A6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C4C44"/>
    <w:multiLevelType w:val="multilevel"/>
    <w:tmpl w:val="06F2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A3F7C"/>
    <w:multiLevelType w:val="hybridMultilevel"/>
    <w:tmpl w:val="5A18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3511D"/>
    <w:multiLevelType w:val="multilevel"/>
    <w:tmpl w:val="F2C4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C05E3"/>
    <w:multiLevelType w:val="multilevel"/>
    <w:tmpl w:val="2242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24774"/>
    <w:multiLevelType w:val="multilevel"/>
    <w:tmpl w:val="F4A8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6299B"/>
    <w:multiLevelType w:val="multilevel"/>
    <w:tmpl w:val="C9B25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7031EE"/>
    <w:multiLevelType w:val="hybridMultilevel"/>
    <w:tmpl w:val="4D56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C767F"/>
    <w:multiLevelType w:val="hybridMultilevel"/>
    <w:tmpl w:val="807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BD1533"/>
    <w:multiLevelType w:val="hybridMultilevel"/>
    <w:tmpl w:val="CC30CE2E"/>
    <w:lvl w:ilvl="0" w:tplc="EC16ABA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2" w15:restartNumberingAfterBreak="0">
    <w:nsid w:val="6C0078F8"/>
    <w:multiLevelType w:val="multilevel"/>
    <w:tmpl w:val="3D7E9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AB342D"/>
    <w:multiLevelType w:val="hybridMultilevel"/>
    <w:tmpl w:val="0D7CB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BF4087"/>
    <w:multiLevelType w:val="hybridMultilevel"/>
    <w:tmpl w:val="7C845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CF246D"/>
    <w:multiLevelType w:val="hybridMultilevel"/>
    <w:tmpl w:val="3B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338645">
    <w:abstractNumId w:val="6"/>
  </w:num>
  <w:num w:numId="2" w16cid:durableId="429282407">
    <w:abstractNumId w:val="2"/>
  </w:num>
  <w:num w:numId="3" w16cid:durableId="150290277">
    <w:abstractNumId w:val="5"/>
  </w:num>
  <w:num w:numId="4" w16cid:durableId="847796245">
    <w:abstractNumId w:val="7"/>
  </w:num>
  <w:num w:numId="5" w16cid:durableId="1693145529">
    <w:abstractNumId w:val="12"/>
  </w:num>
  <w:num w:numId="6" w16cid:durableId="1936984545">
    <w:abstractNumId w:val="4"/>
  </w:num>
  <w:num w:numId="7" w16cid:durableId="900484199">
    <w:abstractNumId w:val="10"/>
  </w:num>
  <w:num w:numId="8" w16cid:durableId="1777483212">
    <w:abstractNumId w:val="0"/>
  </w:num>
  <w:num w:numId="9" w16cid:durableId="341855131">
    <w:abstractNumId w:val="8"/>
  </w:num>
  <w:num w:numId="10" w16cid:durableId="529226283">
    <w:abstractNumId w:val="3"/>
  </w:num>
  <w:num w:numId="11" w16cid:durableId="1633751175">
    <w:abstractNumId w:val="9"/>
  </w:num>
  <w:num w:numId="12" w16cid:durableId="1908151459">
    <w:abstractNumId w:val="11"/>
  </w:num>
  <w:num w:numId="13" w16cid:durableId="128204580">
    <w:abstractNumId w:val="1"/>
  </w:num>
  <w:num w:numId="14" w16cid:durableId="593822546">
    <w:abstractNumId w:val="13"/>
  </w:num>
  <w:num w:numId="15" w16cid:durableId="165639265">
    <w:abstractNumId w:val="14"/>
  </w:num>
  <w:num w:numId="16" w16cid:durableId="790653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A40"/>
    <w:rsid w:val="0003582E"/>
    <w:rsid w:val="00035ECD"/>
    <w:rsid w:val="00040CA1"/>
    <w:rsid w:val="000721B5"/>
    <w:rsid w:val="00085403"/>
    <w:rsid w:val="00090D37"/>
    <w:rsid w:val="00105AFB"/>
    <w:rsid w:val="00145D7B"/>
    <w:rsid w:val="0015265C"/>
    <w:rsid w:val="0018541B"/>
    <w:rsid w:val="00196223"/>
    <w:rsid w:val="001A5FAB"/>
    <w:rsid w:val="001C02A3"/>
    <w:rsid w:val="00277798"/>
    <w:rsid w:val="00324382"/>
    <w:rsid w:val="003243B4"/>
    <w:rsid w:val="00370D04"/>
    <w:rsid w:val="00420EE3"/>
    <w:rsid w:val="004C0661"/>
    <w:rsid w:val="004D251D"/>
    <w:rsid w:val="004F0054"/>
    <w:rsid w:val="004F2204"/>
    <w:rsid w:val="00522632"/>
    <w:rsid w:val="005227A3"/>
    <w:rsid w:val="00582598"/>
    <w:rsid w:val="005A3F55"/>
    <w:rsid w:val="005E418F"/>
    <w:rsid w:val="005F3737"/>
    <w:rsid w:val="00610F09"/>
    <w:rsid w:val="00647970"/>
    <w:rsid w:val="00671E24"/>
    <w:rsid w:val="00681105"/>
    <w:rsid w:val="007664E0"/>
    <w:rsid w:val="00783EDD"/>
    <w:rsid w:val="00786C24"/>
    <w:rsid w:val="007A5EDE"/>
    <w:rsid w:val="007C18B1"/>
    <w:rsid w:val="00834AB2"/>
    <w:rsid w:val="00881F38"/>
    <w:rsid w:val="00882DCC"/>
    <w:rsid w:val="00890AE6"/>
    <w:rsid w:val="008932E0"/>
    <w:rsid w:val="008E1A40"/>
    <w:rsid w:val="008F1C4A"/>
    <w:rsid w:val="00955436"/>
    <w:rsid w:val="0096206B"/>
    <w:rsid w:val="009B25C1"/>
    <w:rsid w:val="009E320E"/>
    <w:rsid w:val="00A2191B"/>
    <w:rsid w:val="00A8315C"/>
    <w:rsid w:val="00AC3951"/>
    <w:rsid w:val="00B120E8"/>
    <w:rsid w:val="00B21023"/>
    <w:rsid w:val="00BD00FC"/>
    <w:rsid w:val="00BD7424"/>
    <w:rsid w:val="00CA2175"/>
    <w:rsid w:val="00D03A55"/>
    <w:rsid w:val="00D740C5"/>
    <w:rsid w:val="00DA143E"/>
    <w:rsid w:val="00DE7035"/>
    <w:rsid w:val="00DF511F"/>
    <w:rsid w:val="00E22AA4"/>
    <w:rsid w:val="00E503B7"/>
    <w:rsid w:val="00E53C45"/>
    <w:rsid w:val="00E72E4F"/>
    <w:rsid w:val="00E7792B"/>
    <w:rsid w:val="00E91744"/>
    <w:rsid w:val="00EC170B"/>
    <w:rsid w:val="00EF09F9"/>
    <w:rsid w:val="00F0382D"/>
    <w:rsid w:val="00F93192"/>
    <w:rsid w:val="00F93475"/>
    <w:rsid w:val="00FC47E7"/>
    <w:rsid w:val="00FC560E"/>
    <w:rsid w:val="00FD562C"/>
    <w:rsid w:val="00F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023A"/>
  <w15:chartTrackingRefBased/>
  <w15:docId w15:val="{34857004-7D06-46BD-8060-CF8F588BC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3B4"/>
  </w:style>
  <w:style w:type="paragraph" w:styleId="Heading1">
    <w:name w:val="heading 1"/>
    <w:basedOn w:val="Normal"/>
    <w:next w:val="Normal"/>
    <w:link w:val="Heading1Char"/>
    <w:uiPriority w:val="9"/>
    <w:qFormat/>
    <w:rsid w:val="0032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B0F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B0F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3B4"/>
    <w:pPr>
      <w:keepNext/>
      <w:keepLines/>
      <w:spacing w:before="160" w:after="80"/>
      <w:outlineLvl w:val="2"/>
    </w:pPr>
    <w:rPr>
      <w:rFonts w:eastAsiaTheme="majorEastAsia" w:cstheme="majorBidi"/>
      <w:color w:val="00B0F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3B4"/>
    <w:rPr>
      <w:rFonts w:asciiTheme="majorHAnsi" w:eastAsiaTheme="majorEastAsia" w:hAnsiTheme="majorHAnsi" w:cstheme="majorBidi"/>
      <w:color w:val="00B0F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243B4"/>
    <w:rPr>
      <w:rFonts w:asciiTheme="majorHAnsi" w:eastAsiaTheme="majorEastAsia" w:hAnsiTheme="majorHAnsi" w:cstheme="majorBidi"/>
      <w:color w:val="00B0F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3B4"/>
    <w:rPr>
      <w:rFonts w:eastAsiaTheme="majorEastAsia" w:cstheme="majorBidi"/>
      <w:color w:val="00B0F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3243B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3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3B4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324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3B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834AB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522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226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Mor14</b:Tag>
    <b:SourceType>Book</b:SourceType>
    <b:Guid>{3381F4FA-EF35-41B0-8579-23981ECA9B4A}</b:Guid>
    <b:Author>
      <b:Author>
        <b:NameList>
          <b:Person>
            <b:Last>Moran</b:Last>
            <b:Middle>J.</b:Middle>
            <b:First>Michael</b:First>
          </b:Person>
          <b:Person>
            <b:Last>Shapiro</b:Last>
            <b:Middle>N.</b:Middle>
            <b:First>Howard</b:First>
          </b:Person>
          <b:Person>
            <b:Last>Boettner</b:Last>
            <b:Middle>D.</b:Middle>
            <b:First>Daisie</b:First>
          </b:Person>
          <b:Person>
            <b:Last>Bailey</b:Last>
            <b:Middle>B.</b:Middle>
            <b:First>Margaret</b:First>
          </b:Person>
        </b:NameList>
      </b:Author>
    </b:Author>
    <b:Title>Fundamentals of engineering thermodynamics</b:Title>
    <b:Year>2014</b:Year>
    <b:Publisher>Don Fowley</b:Publisher>
    <b:RefOrder>1</b:RefOrder>
  </b:Source>
  <b:Source>
    <b:Tag>Pre</b:Tag>
    <b:SourceType>Misc</b:SourceType>
    <b:Guid>{36D83ABB-6446-4A65-A585-F90FF479F1C1}</b:Guid>
    <b:Author>
      <b:Author>
        <b:NameList>
          <b:Person>
            <b:Last>author</b:Last>
            <b:First>Prepared</b:First>
            <b:Middle>by the</b:Middle>
          </b:Person>
        </b:NameList>
      </b:Author>
    </b:Author>
    <b:RefOrder>3</b:RefOrder>
  </b:Source>
  <b:Source>
    <b:Tag>Sar01</b:Tag>
    <b:SourceType>Book</b:SourceType>
    <b:Guid>{44E578E6-BFD7-47CB-8FC5-C50CE152FF09}</b:Guid>
    <b:Title>Gas Turbine Theory</b:Title>
    <b:Year>2001</b:Year>
    <b:Publisher>Pearson Education, Ltd.</b:Publisher>
    <b:Author>
      <b:Author>
        <b:NameList>
          <b:Person>
            <b:Last>Saravanamuttoo</b:Last>
            <b:First>HIH</b:First>
          </b:Person>
          <b:Person>
            <b:Last>Cohen</b:Last>
            <b:First>H.</b:First>
          </b:Person>
          <b:Person>
            <b:Last>GFC Rogers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C8E6690-BA7D-4055-BFF9-E23275AA6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4395</TotalTime>
  <Pages>5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Idoate Gil, Germán</dc:creator>
  <cp:keywords/>
  <dc:description/>
  <cp:lastModifiedBy>Idoate Gil, Germán</cp:lastModifiedBy>
  <cp:revision>54</cp:revision>
  <dcterms:created xsi:type="dcterms:W3CDTF">2025-06-13T09:22:00Z</dcterms:created>
  <dcterms:modified xsi:type="dcterms:W3CDTF">2025-06-20T12:26:00Z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645e4c-ff24-416f-b8d2-b7102f1f1bdb_Enabled">
    <vt:lpwstr>true</vt:lpwstr>
  </property>
  <property fmtid="{D5CDD505-2E9C-101B-9397-08002B2CF9AE}" pid="3" name="MSIP_Label_5c645e4c-ff24-416f-b8d2-b7102f1f1bdb_SetDate">
    <vt:lpwstr>2025-06-13T09:29:23Z</vt:lpwstr>
  </property>
  <property fmtid="{D5CDD505-2E9C-101B-9397-08002B2CF9AE}" pid="4" name="MSIP_Label_5c645e4c-ff24-416f-b8d2-b7102f1f1bdb_Method">
    <vt:lpwstr>Privileged</vt:lpwstr>
  </property>
  <property fmtid="{D5CDD505-2E9C-101B-9397-08002B2CF9AE}" pid="5" name="MSIP_Label_5c645e4c-ff24-416f-b8d2-b7102f1f1bdb_Name">
    <vt:lpwstr>Personal</vt:lpwstr>
  </property>
  <property fmtid="{D5CDD505-2E9C-101B-9397-08002B2CF9AE}" pid="6" name="MSIP_Label_5c645e4c-ff24-416f-b8d2-b7102f1f1bdb_SiteId">
    <vt:lpwstr>abf9983b-ca77-4f20-9633-ca9c5a847041</vt:lpwstr>
  </property>
  <property fmtid="{D5CDD505-2E9C-101B-9397-08002B2CF9AE}" pid="7" name="MSIP_Label_5c645e4c-ff24-416f-b8d2-b7102f1f1bdb_ActionId">
    <vt:lpwstr>b93f52fa-8be5-4912-90ea-d01c6ca54d38</vt:lpwstr>
  </property>
  <property fmtid="{D5CDD505-2E9C-101B-9397-08002B2CF9AE}" pid="8" name="MSIP_Label_5c645e4c-ff24-416f-b8d2-b7102f1f1bdb_ContentBits">
    <vt:lpwstr>0</vt:lpwstr>
  </property>
  <property fmtid="{D5CDD505-2E9C-101B-9397-08002B2CF9AE}" pid="9" name="MSIP_Label_5c645e4c-ff24-416f-b8d2-b7102f1f1bdb_Tag">
    <vt:lpwstr>10, 0, 1, 1</vt:lpwstr>
  </property>
</Properties>
</file>