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782A4D" w:rsidRDefault="007F4A81" w:rsidP="00DA55C9">
      <w:pPr>
        <w:spacing w:line="480" w:lineRule="auto"/>
        <w:rPr>
          <w:rFonts w:ascii="Arial" w:hAnsi="Arial" w:cs="Arial"/>
          <w:b/>
          <w:bCs/>
          <w:lang w:val="en-US"/>
        </w:rPr>
      </w:pPr>
      <w:r w:rsidRPr="00782A4D">
        <w:rPr>
          <w:rFonts w:ascii="Arial" w:hAnsi="Arial" w:cs="Arial"/>
          <w:b/>
          <w:bCs/>
          <w:lang w:val="en-US"/>
        </w:rPr>
        <w:t xml:space="preserve">Software Quality Assurance in </w:t>
      </w:r>
      <w:r w:rsidR="00EE13FF" w:rsidRPr="00782A4D">
        <w:rPr>
          <w:rFonts w:ascii="Arial" w:hAnsi="Arial" w:cs="Arial"/>
          <w:b/>
          <w:bCs/>
          <w:lang w:val="en-US"/>
        </w:rPr>
        <w:t>1Cover Travel Insurance NZ</w:t>
      </w:r>
    </w:p>
    <w:p w14:paraId="6BE450ED" w14:textId="77777777" w:rsidR="00E9324E" w:rsidRPr="00762A88" w:rsidRDefault="00E9324E" w:rsidP="00DA55C9">
      <w:pPr>
        <w:spacing w:line="480" w:lineRule="auto"/>
        <w:rPr>
          <w:rFonts w:ascii="Arial" w:hAnsi="Arial" w:cs="Arial"/>
          <w:lang w:val="en-US"/>
        </w:rPr>
      </w:pPr>
    </w:p>
    <w:p w14:paraId="5EB6E0FA" w14:textId="53062CDC" w:rsidR="00E9324E" w:rsidRPr="00762A88" w:rsidRDefault="00E9324E" w:rsidP="00DA55C9">
      <w:pPr>
        <w:spacing w:line="480" w:lineRule="auto"/>
        <w:rPr>
          <w:rFonts w:ascii="Arial" w:hAnsi="Arial" w:cs="Arial"/>
          <w:b/>
          <w:bCs/>
          <w:lang w:val="en-US"/>
        </w:rPr>
      </w:pPr>
      <w:r w:rsidRPr="00762A88">
        <w:rPr>
          <w:rFonts w:ascii="Arial" w:hAnsi="Arial" w:cs="Arial"/>
          <w:b/>
          <w:bCs/>
          <w:lang w:val="en-US"/>
        </w:rPr>
        <w:t>1. Executive Summary</w:t>
      </w:r>
      <w:r w:rsidR="00C61A64">
        <w:rPr>
          <w:rFonts w:ascii="Arial" w:hAnsi="Arial" w:cs="Arial"/>
          <w:b/>
          <w:bCs/>
          <w:lang w:val="en-US"/>
        </w:rPr>
        <w:t xml:space="preserve"> (200 words)</w:t>
      </w:r>
    </w:p>
    <w:p w14:paraId="113C1DB3" w14:textId="6135BD7C" w:rsidR="00141F73" w:rsidRPr="00762A88" w:rsidRDefault="00991918" w:rsidP="00DA55C9">
      <w:pPr>
        <w:spacing w:line="480" w:lineRule="auto"/>
        <w:rPr>
          <w:rFonts w:ascii="Arial" w:hAnsi="Arial" w:cs="Arial"/>
          <w:lang w:val="en-US"/>
        </w:rPr>
      </w:pPr>
      <w:r w:rsidRPr="00762A88">
        <w:rPr>
          <w:rFonts w:ascii="Arial" w:hAnsi="Arial" w:cs="Arial"/>
          <w:lang w:val="en-US"/>
        </w:rPr>
        <w:tab/>
      </w:r>
      <w:r w:rsidR="00B223EB" w:rsidRPr="00762A88">
        <w:rPr>
          <w:rFonts w:ascii="Arial" w:hAnsi="Arial" w:cs="Arial"/>
          <w:lang w:val="en-US"/>
        </w:rPr>
        <w:t>1Cover is New Zealand’s leading specialist in providing travel insurance, with over 20 years of experience</w:t>
      </w:r>
      <w:r w:rsidR="00B211DA" w:rsidRPr="00762A88">
        <w:rPr>
          <w:rFonts w:ascii="Arial" w:hAnsi="Arial" w:cs="Arial"/>
          <w:lang w:val="en-US"/>
        </w:rPr>
        <w:t xml:space="preserve">. Focused exclusively on travel insurance, </w:t>
      </w:r>
      <w:r w:rsidR="00E1259D" w:rsidRPr="00762A88">
        <w:rPr>
          <w:rFonts w:ascii="Arial" w:hAnsi="Arial" w:cs="Arial"/>
          <w:lang w:val="en-US"/>
        </w:rPr>
        <w:t xml:space="preserve">1Cover has built deep expertise tailored to a wide variety of </w:t>
      </w:r>
      <w:r w:rsidR="00C854C7" w:rsidRPr="00762A88">
        <w:rPr>
          <w:rFonts w:ascii="Arial" w:hAnsi="Arial" w:cs="Arial"/>
          <w:lang w:val="en-US"/>
        </w:rPr>
        <w:t>traveler</w:t>
      </w:r>
      <w:r w:rsidR="00E1259D" w:rsidRPr="00762A88">
        <w:rPr>
          <w:rFonts w:ascii="Arial" w:hAnsi="Arial" w:cs="Arial"/>
          <w:lang w:val="en-US"/>
        </w:rPr>
        <w:t xml:space="preserve"> profiles, from holidaymakers and backpackers to ski enthusiasts and frequent </w:t>
      </w:r>
      <w:r w:rsidR="00C854C7" w:rsidRPr="00762A88">
        <w:rPr>
          <w:rFonts w:ascii="Arial" w:hAnsi="Arial" w:cs="Arial"/>
          <w:lang w:val="en-US"/>
        </w:rPr>
        <w:t>travelers</w:t>
      </w:r>
      <w:r w:rsidR="00AD4A37" w:rsidRPr="00762A88">
        <w:rPr>
          <w:rFonts w:ascii="Arial" w:hAnsi="Arial" w:cs="Arial"/>
          <w:lang w:val="en-US"/>
        </w:rPr>
        <w:t xml:space="preserve"> </w:t>
      </w:r>
      <w:r w:rsidR="00AD4A37" w:rsidRPr="00762A88">
        <w:rPr>
          <w:rFonts w:ascii="Arial" w:hAnsi="Arial" w:cs="Arial"/>
          <w:lang w:val="en-US"/>
        </w:rPr>
        <w:fldChar w:fldCharType="begin"/>
      </w:r>
      <w:r w:rsidR="00C11CF4" w:rsidRPr="00762A88">
        <w:rPr>
          <w:rFonts w:ascii="Arial" w:hAnsi="Arial" w:cs="Arial"/>
          <w:lang w:val="en-US"/>
        </w:rPr>
        <w:instrText xml:space="preserve"> ADDIN ZOTERO_ITEM CSL_CITATION {"citationID":"Dzb6nJnP","properties":{"formattedCitation":"(1Cover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AD4A37" w:rsidRPr="00762A88">
        <w:rPr>
          <w:rFonts w:ascii="Arial" w:hAnsi="Arial" w:cs="Arial"/>
          <w:lang w:val="en-US"/>
        </w:rPr>
        <w:fldChar w:fldCharType="separate"/>
      </w:r>
      <w:r w:rsidR="00C11CF4" w:rsidRPr="00762A88">
        <w:rPr>
          <w:rFonts w:ascii="Arial" w:hAnsi="Arial" w:cs="Arial"/>
        </w:rPr>
        <w:t>(1Cover NZ, n.d.)</w:t>
      </w:r>
      <w:r w:rsidR="00AD4A37" w:rsidRPr="00762A88">
        <w:rPr>
          <w:rFonts w:ascii="Arial" w:hAnsi="Arial" w:cs="Arial"/>
          <w:lang w:val="en-US"/>
        </w:rPr>
        <w:fldChar w:fldCharType="end"/>
      </w:r>
      <w:r w:rsidR="00E1259D" w:rsidRPr="00762A88">
        <w:rPr>
          <w:rFonts w:ascii="Arial" w:hAnsi="Arial" w:cs="Arial"/>
          <w:lang w:val="en-US"/>
        </w:rPr>
        <w:t>.</w:t>
      </w:r>
      <w:r w:rsidR="00E245AB">
        <w:rPr>
          <w:rFonts w:ascii="Arial" w:hAnsi="Arial" w:cs="Arial"/>
          <w:lang w:val="en-US"/>
        </w:rPr>
        <w:t xml:space="preserve"> 1Cover </w:t>
      </w:r>
      <w:r w:rsidR="00E245AB" w:rsidRPr="00E245AB">
        <w:rPr>
          <w:rFonts w:ascii="Arial" w:hAnsi="Arial" w:cs="Arial"/>
          <w:lang w:val="en-US"/>
        </w:rPr>
        <w:t>relies on a robust digital ecosystem that supports high-volume quoting, policy issuance, and claims operations, especially during peak travel seasons. To strengthen delivery quality and operational resilience, 1Cover’s QA strategy emphasizes strong governance through clear accountability, release controls, and cross-functional oversight; modern toolsets including automated regression suites, API contract testing, performance testing, and CI/CD quality gates; and active risk management targeting integration failures, data-quality issues, security vulnerabilities, and seasonal load spikes. Future-readiness is enabled through emerging AI assurance practices for automated decisioning, enhanced monitoring/observability, and a formalized data governance framework ensuring accuracy, privacy, and trust in underwriting and claims data. To achieve a higher QA maturity level, 1Cover should prioritise investments in test automation, environment stability, data quality tooling, and AI/data governance foundations, enabling more reliable, scalable, and compliant digital service delivery.</w:t>
      </w:r>
    </w:p>
    <w:p w14:paraId="04583AC2" w14:textId="0EB955BC" w:rsidR="00D0403E" w:rsidRPr="00F738DB" w:rsidRDefault="00D0403E" w:rsidP="00DA55C9">
      <w:pPr>
        <w:spacing w:line="480" w:lineRule="auto"/>
        <w:rPr>
          <w:rFonts w:ascii="Arial" w:hAnsi="Arial" w:cs="Arial"/>
          <w:b/>
          <w:bCs/>
          <w:lang w:val="en-US"/>
        </w:rPr>
      </w:pPr>
      <w:r w:rsidRPr="00F738DB">
        <w:rPr>
          <w:rFonts w:ascii="Arial" w:hAnsi="Arial" w:cs="Arial"/>
          <w:b/>
          <w:bCs/>
          <w:lang w:val="en-US"/>
        </w:rPr>
        <w:t>**Agile Testing Frameworks</w:t>
      </w:r>
      <w:r w:rsidRPr="00F738DB">
        <w:rPr>
          <w:rFonts w:ascii="Arial" w:hAnsi="Arial" w:cs="Arial"/>
          <w:b/>
          <w:bCs/>
          <w:lang w:val="en-US"/>
        </w:rPr>
        <w:br/>
        <w:t>**ISO 9001 Quality Management System</w:t>
      </w:r>
      <w:r w:rsidRPr="00F738DB">
        <w:rPr>
          <w:rFonts w:ascii="Arial" w:hAnsi="Arial" w:cs="Arial"/>
          <w:b/>
          <w:bCs/>
          <w:lang w:val="en-US"/>
        </w:rPr>
        <w:br/>
        <w:t>**Six Sigma or Lean Six Sigma</w:t>
      </w:r>
    </w:p>
    <w:p w14:paraId="00B2E737"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lastRenderedPageBreak/>
        <w:t xml:space="preserve">Student Guidance Notes: </w:t>
      </w:r>
    </w:p>
    <w:p w14:paraId="6A5CDB68"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AM854001 Software Quality Assurance: Assessment 2</w:t>
      </w:r>
    </w:p>
    <w:p w14:paraId="075A07FE"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Assessment Overview:</w:t>
      </w:r>
    </w:p>
    <w:p w14:paraId="2292741F" w14:textId="47914BB1" w:rsidR="00562B65" w:rsidRPr="00762A88" w:rsidRDefault="00562B65" w:rsidP="00DA55C9">
      <w:pPr>
        <w:spacing w:line="480" w:lineRule="auto"/>
        <w:rPr>
          <w:rFonts w:ascii="Arial" w:hAnsi="Arial" w:cs="Arial"/>
          <w:lang w:val="en-US"/>
        </w:rPr>
      </w:pPr>
      <w:r w:rsidRPr="00762A88">
        <w:rPr>
          <w:rFonts w:ascii="Arial" w:hAnsi="Arial" w:cs="Arial"/>
          <w:lang w:val="en-US"/>
        </w:rPr>
        <w:t>2500-3000 words</w:t>
      </w:r>
    </w:p>
    <w:p w14:paraId="23F146BC"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This assessment asks you to develop a comprehensive organization-wide Quality Assurance (QA) strategy for the Business Information Systems (BIS) of a New Zealand-based organization. This task requires you to propose a forward-looking QA strategy that addresses current quality challenges and prepares the organization for emerging trends in BIS quality assurance.</w:t>
      </w:r>
    </w:p>
    <w:p w14:paraId="7A335B42"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Real-world examples, particularly from NZ Post’s operational and strategic efforts, should support the analysis.</w:t>
      </w:r>
    </w:p>
    <w:p w14:paraId="1F40DF53"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Introduction:</w:t>
      </w:r>
    </w:p>
    <w:p w14:paraId="45C76DBD" w14:textId="16C43FCF" w:rsidR="00141F73" w:rsidRPr="00762A88" w:rsidRDefault="00141F73" w:rsidP="00DA55C9">
      <w:pPr>
        <w:spacing w:line="480" w:lineRule="auto"/>
        <w:rPr>
          <w:rFonts w:ascii="Arial" w:hAnsi="Arial" w:cs="Arial"/>
          <w:lang w:val="en-US"/>
        </w:rPr>
      </w:pPr>
      <w:r w:rsidRPr="00762A88">
        <w:rPr>
          <w:rFonts w:ascii="Arial" w:hAnsi="Arial" w:cs="Arial"/>
          <w:lang w:val="en-US"/>
        </w:rPr>
        <w:t>Begin by introducing the purpose of the report and setting the context of NZ Post as a large state-owned enterprise responsible for delivering letters and parcels across the country.</w:t>
      </w:r>
    </w:p>
    <w:p w14:paraId="39E5B98C" w14:textId="20A1452D" w:rsidR="00141F73" w:rsidRPr="00762A88" w:rsidRDefault="00141F73" w:rsidP="00DA55C9">
      <w:pPr>
        <w:spacing w:line="480" w:lineRule="auto"/>
        <w:rPr>
          <w:rFonts w:ascii="Arial" w:hAnsi="Arial" w:cs="Arial"/>
          <w:lang w:val="en-US"/>
        </w:rPr>
      </w:pPr>
      <w:r w:rsidRPr="00762A88">
        <w:rPr>
          <w:rFonts w:ascii="Arial" w:hAnsi="Arial" w:cs="Arial"/>
          <w:lang w:val="en-US"/>
        </w:rPr>
        <w:t>Executive Summary ####</w:t>
      </w:r>
    </w:p>
    <w:p w14:paraId="422D777E" w14:textId="4429C374" w:rsidR="007F4A81" w:rsidRPr="00762A88" w:rsidRDefault="00E9324E" w:rsidP="00DA55C9">
      <w:pPr>
        <w:spacing w:line="480" w:lineRule="auto"/>
        <w:ind w:firstLine="720"/>
        <w:rPr>
          <w:rFonts w:ascii="Arial" w:hAnsi="Arial" w:cs="Arial"/>
          <w:lang w:val="en-US"/>
        </w:rPr>
      </w:pPr>
      <w:r w:rsidRPr="00762A88">
        <w:rPr>
          <w:rFonts w:ascii="Arial" w:hAnsi="Arial" w:cs="Arial"/>
          <w:lang w:val="en-US"/>
        </w:rPr>
        <w:t>Include one-paragraph context on NZ Post’s BIS (logistics, tracking, e-commerce APIs, hybrid cloud, peak season loads). List the key QA strategy outcomes; governance, toolsets, top risks and mitigations, future-readiness such as AI assurance and data governance. Give a short recommendation summary, discussing maturity targets, primary investments etc.</w:t>
      </w:r>
      <w:r w:rsidR="00B956F4" w:rsidRPr="00762A88">
        <w:rPr>
          <w:rFonts w:ascii="Arial" w:hAnsi="Arial" w:cs="Arial"/>
          <w:lang w:val="en-US"/>
        </w:rPr>
        <w:tab/>
      </w:r>
    </w:p>
    <w:p w14:paraId="6A2B816C" w14:textId="28705BE9"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2</w:t>
      </w:r>
      <w:r w:rsidR="007F4A81" w:rsidRPr="00762A88">
        <w:rPr>
          <w:rFonts w:ascii="Arial" w:hAnsi="Arial" w:cs="Arial"/>
          <w:b/>
          <w:bCs/>
          <w:lang w:val="en-US"/>
        </w:rPr>
        <w:t>. Introduction</w:t>
      </w:r>
      <w:r w:rsidR="00DE6214">
        <w:rPr>
          <w:rFonts w:ascii="Arial" w:hAnsi="Arial" w:cs="Arial"/>
          <w:b/>
          <w:bCs/>
          <w:lang w:val="en-US"/>
        </w:rPr>
        <w:t xml:space="preserve"> (300 words)</w:t>
      </w:r>
    </w:p>
    <w:p w14:paraId="035EFCDB" w14:textId="128558B7" w:rsidR="00FB751B" w:rsidRDefault="00C22A33" w:rsidP="00DA55C9">
      <w:pPr>
        <w:spacing w:line="480" w:lineRule="auto"/>
        <w:rPr>
          <w:rFonts w:ascii="Arial" w:hAnsi="Arial" w:cs="Arial"/>
          <w:lang w:val="en-US"/>
        </w:rPr>
      </w:pPr>
      <w:r w:rsidRPr="00762A88">
        <w:rPr>
          <w:rFonts w:ascii="Arial" w:hAnsi="Arial" w:cs="Arial"/>
          <w:lang w:val="en-US"/>
        </w:rPr>
        <w:lastRenderedPageBreak/>
        <w:tab/>
      </w:r>
      <w:r w:rsidR="00747970" w:rsidRPr="00762A88">
        <w:rPr>
          <w:rFonts w:ascii="Arial" w:hAnsi="Arial" w:cs="Arial"/>
          <w:lang w:val="en-US"/>
        </w:rPr>
        <w:t>For organizations</w:t>
      </w:r>
      <w:r w:rsidR="00F209F3" w:rsidRPr="00762A88">
        <w:rPr>
          <w:rFonts w:ascii="Arial" w:hAnsi="Arial" w:cs="Arial"/>
          <w:lang w:val="en-US"/>
        </w:rPr>
        <w:t xml:space="preserve"> like </w:t>
      </w:r>
      <w:r w:rsidR="00AE53B3">
        <w:rPr>
          <w:rFonts w:ascii="Arial" w:hAnsi="Arial" w:cs="Arial"/>
          <w:lang w:val="en-US"/>
        </w:rPr>
        <w:t>1Cover</w:t>
      </w:r>
      <w:r w:rsidR="00747970" w:rsidRPr="00762A88">
        <w:rPr>
          <w:rFonts w:ascii="Arial" w:hAnsi="Arial" w:cs="Arial"/>
          <w:lang w:val="en-US"/>
        </w:rPr>
        <w:t xml:space="preserve">, Software Quality </w:t>
      </w:r>
      <w:r w:rsidR="00EC79EB" w:rsidRPr="00762A88">
        <w:rPr>
          <w:rFonts w:ascii="Arial" w:hAnsi="Arial" w:cs="Arial"/>
          <w:lang w:val="en-US"/>
        </w:rPr>
        <w:t>Assurance</w:t>
      </w:r>
      <w:r w:rsidR="00EC79EB">
        <w:rPr>
          <w:rFonts w:ascii="Arial" w:hAnsi="Arial" w:cs="Arial"/>
          <w:lang w:val="en-US"/>
        </w:rPr>
        <w:t xml:space="preserve"> (</w:t>
      </w:r>
      <w:r w:rsidR="00DF6E8F">
        <w:rPr>
          <w:rFonts w:ascii="Arial" w:hAnsi="Arial" w:cs="Arial"/>
          <w:lang w:val="en-US"/>
        </w:rPr>
        <w:t>SQA)</w:t>
      </w:r>
      <w:r w:rsidR="00747970" w:rsidRPr="00762A88">
        <w:rPr>
          <w:rFonts w:ascii="Arial" w:hAnsi="Arial" w:cs="Arial"/>
          <w:lang w:val="en-US"/>
        </w:rPr>
        <w:t xml:space="preserve"> is crucial in their pursuit </w:t>
      </w:r>
      <w:r w:rsidR="00C86B50" w:rsidRPr="00762A88">
        <w:rPr>
          <w:rFonts w:ascii="Arial" w:hAnsi="Arial" w:cs="Arial"/>
          <w:lang w:val="en-US"/>
        </w:rPr>
        <w:t>of</w:t>
      </w:r>
      <w:r w:rsidR="00747970" w:rsidRPr="00762A88">
        <w:rPr>
          <w:rFonts w:ascii="Arial" w:hAnsi="Arial" w:cs="Arial"/>
          <w:lang w:val="en-US"/>
        </w:rPr>
        <w:t xml:space="preserve"> success in today’s age.</w:t>
      </w:r>
      <w:r w:rsidR="005F7450" w:rsidRPr="00762A88">
        <w:rPr>
          <w:rFonts w:ascii="Arial" w:hAnsi="Arial" w:cs="Arial"/>
          <w:lang w:val="en-US"/>
        </w:rPr>
        <w:t xml:space="preserve"> But what is Software Quality Assurance?</w:t>
      </w:r>
      <w:r w:rsidR="0023268D">
        <w:rPr>
          <w:rFonts w:ascii="Arial" w:hAnsi="Arial" w:cs="Arial"/>
          <w:lang w:val="en-US"/>
        </w:rPr>
        <w:t xml:space="preserve"> Software Quality Assurance is a discipline</w:t>
      </w:r>
      <w:r w:rsidR="0023268D" w:rsidRPr="0023268D">
        <w:rPr>
          <w:rFonts w:ascii="Arial" w:hAnsi="Arial" w:cs="Arial"/>
          <w:lang w:val="en-US"/>
        </w:rPr>
        <w:t xml:space="preserve"> focused on ensuring </w:t>
      </w:r>
      <w:r w:rsidR="00CA3844" w:rsidRPr="0023268D">
        <w:rPr>
          <w:rFonts w:ascii="Arial" w:hAnsi="Arial" w:cs="Arial"/>
          <w:lang w:val="en-US"/>
        </w:rPr>
        <w:t>robustness</w:t>
      </w:r>
      <w:r w:rsidR="0023268D" w:rsidRPr="0023268D">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Pr>
          <w:rFonts w:ascii="Arial" w:hAnsi="Arial" w:cs="Arial"/>
          <w:lang w:val="en-US"/>
        </w:rPr>
        <w:t xml:space="preserve"> </w:t>
      </w:r>
      <w:r w:rsidR="00151D54">
        <w:rPr>
          <w:rFonts w:ascii="Arial" w:hAnsi="Arial" w:cs="Arial"/>
          <w:lang w:val="en-US"/>
        </w:rPr>
        <w:fldChar w:fldCharType="begin"/>
      </w:r>
      <w:r w:rsidR="00151D54">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Pr>
          <w:rFonts w:ascii="Arial" w:hAnsi="Arial" w:cs="Arial"/>
          <w:lang w:val="en-US"/>
        </w:rPr>
        <w:fldChar w:fldCharType="separate"/>
      </w:r>
      <w:r w:rsidR="00151D54" w:rsidRPr="00151D54">
        <w:rPr>
          <w:rFonts w:ascii="Arial" w:hAnsi="Arial" w:cs="Arial"/>
        </w:rPr>
        <w:t>(Ziemba, 2017)</w:t>
      </w:r>
      <w:r w:rsidR="00151D54">
        <w:rPr>
          <w:rFonts w:ascii="Arial" w:hAnsi="Arial" w:cs="Arial"/>
          <w:lang w:val="en-US"/>
        </w:rPr>
        <w:fldChar w:fldCharType="end"/>
      </w:r>
      <w:r w:rsidR="00151D54">
        <w:rPr>
          <w:rFonts w:ascii="Arial" w:hAnsi="Arial" w:cs="Arial"/>
          <w:lang w:val="en-US"/>
        </w:rPr>
        <w:t>.</w:t>
      </w:r>
    </w:p>
    <w:p w14:paraId="440ADD22" w14:textId="7544CDFA" w:rsidR="00241215" w:rsidRDefault="00241215" w:rsidP="00DA55C9">
      <w:pPr>
        <w:spacing w:line="480" w:lineRule="auto"/>
        <w:rPr>
          <w:rFonts w:ascii="Arial" w:hAnsi="Arial" w:cs="Arial"/>
          <w:lang w:val="en-US"/>
        </w:rPr>
      </w:pPr>
      <w:r>
        <w:rPr>
          <w:rFonts w:ascii="Arial" w:hAnsi="Arial" w:cs="Arial"/>
          <w:lang w:val="en-US"/>
        </w:rPr>
        <w:tab/>
        <w:t>1Cover</w:t>
      </w:r>
      <w:r w:rsidR="00C40B3E">
        <w:rPr>
          <w:rFonts w:ascii="Arial" w:hAnsi="Arial" w:cs="Arial"/>
          <w:lang w:val="en-US"/>
        </w:rPr>
        <w:t xml:space="preserve"> Travel Insurance New Zealand</w:t>
      </w:r>
      <w:r>
        <w:rPr>
          <w:rFonts w:ascii="Arial" w:hAnsi="Arial" w:cs="Arial"/>
          <w:lang w:val="en-US"/>
        </w:rPr>
        <w:t xml:space="preserve">, </w:t>
      </w:r>
      <w:r w:rsidRPr="00762A88">
        <w:rPr>
          <w:rFonts w:ascii="Arial" w:hAnsi="Arial" w:cs="Arial"/>
          <w:lang w:val="en-US"/>
        </w:rPr>
        <w:t>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762A88">
        <w:rPr>
          <w:rFonts w:ascii="Arial" w:hAnsi="Arial" w:cs="Arial"/>
          <w:lang w:val="en-US"/>
        </w:rPr>
        <w:t xml:space="preserve"> </w:t>
      </w:r>
      <w:r w:rsidR="00912BA0" w:rsidRPr="00762A88">
        <w:rPr>
          <w:rFonts w:ascii="Arial" w:hAnsi="Arial" w:cs="Arial"/>
          <w:lang w:val="en-US"/>
        </w:rPr>
        <w:fldChar w:fldCharType="begin"/>
      </w:r>
      <w:r w:rsidR="001977CE">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762A88">
        <w:rPr>
          <w:rFonts w:ascii="Arial" w:hAnsi="Arial" w:cs="Arial"/>
          <w:lang w:val="en-US"/>
        </w:rPr>
        <w:fldChar w:fldCharType="separate"/>
      </w:r>
      <w:r w:rsidR="00912BA0" w:rsidRPr="00762A88">
        <w:rPr>
          <w:rFonts w:ascii="Arial" w:hAnsi="Arial" w:cs="Arial"/>
        </w:rPr>
        <w:t>(1Cover NZ, n.d.)</w:t>
      </w:r>
      <w:r w:rsidR="00912BA0" w:rsidRPr="00762A88">
        <w:rPr>
          <w:rFonts w:ascii="Arial" w:hAnsi="Arial" w:cs="Arial"/>
          <w:lang w:val="en-US"/>
        </w:rPr>
        <w:fldChar w:fldCharType="end"/>
      </w:r>
      <w:r w:rsidR="00F80F00">
        <w:rPr>
          <w:rFonts w:ascii="Arial" w:hAnsi="Arial" w:cs="Arial"/>
          <w:lang w:val="en-US"/>
        </w:rPr>
        <w:t>.</w:t>
      </w:r>
      <w:r w:rsidR="00891506">
        <w:rPr>
          <w:rFonts w:ascii="Arial" w:hAnsi="Arial" w:cs="Arial"/>
          <w:lang w:val="en-US"/>
        </w:rPr>
        <w:t xml:space="preserve"> Like other travel insurance companies, travel insurance companies are usually composed of three value chains. First is </w:t>
      </w:r>
      <w:r w:rsidR="005D7E86">
        <w:rPr>
          <w:rFonts w:ascii="Arial" w:hAnsi="Arial" w:cs="Arial"/>
          <w:lang w:val="en-US"/>
        </w:rPr>
        <w:t>product</w:t>
      </w:r>
      <w:r w:rsidR="00891506">
        <w:rPr>
          <w:rFonts w:ascii="Arial" w:hAnsi="Arial" w:cs="Arial"/>
          <w:lang w:val="en-US"/>
        </w:rPr>
        <w:t xml:space="preserve"> creation and risk management, which </w:t>
      </w:r>
      <w:r w:rsidR="00B35839">
        <w:rPr>
          <w:rFonts w:ascii="Arial" w:hAnsi="Arial" w:cs="Arial"/>
          <w:lang w:val="en-US"/>
        </w:rPr>
        <w:t>comprises</w:t>
      </w:r>
      <w:r w:rsidR="00891506">
        <w:rPr>
          <w:rFonts w:ascii="Arial" w:hAnsi="Arial" w:cs="Arial"/>
          <w:lang w:val="en-US"/>
        </w:rPr>
        <w:t xml:space="preserve"> </w:t>
      </w:r>
      <w:r w:rsidR="00B35839">
        <w:rPr>
          <w:rFonts w:ascii="Arial" w:hAnsi="Arial" w:cs="Arial"/>
          <w:lang w:val="en-US"/>
        </w:rPr>
        <w:t xml:space="preserve">of </w:t>
      </w:r>
      <w:r w:rsidR="00891506">
        <w:rPr>
          <w:rFonts w:ascii="Arial" w:hAnsi="Arial" w:cs="Arial"/>
          <w:lang w:val="en-US"/>
        </w:rPr>
        <w:t>underwriters and reinsurers</w:t>
      </w:r>
      <w:r w:rsidR="00CF66F4">
        <w:rPr>
          <w:rFonts w:ascii="Arial" w:hAnsi="Arial" w:cs="Arial"/>
          <w:lang w:val="en-US"/>
        </w:rPr>
        <w:t>. Second is distribution</w:t>
      </w:r>
      <w:r w:rsidR="00891506">
        <w:rPr>
          <w:rFonts w:ascii="Arial" w:hAnsi="Arial" w:cs="Arial"/>
          <w:lang w:val="en-US"/>
        </w:rPr>
        <w:t xml:space="preserve"> and sales</w:t>
      </w:r>
      <w:r w:rsidR="00CF66F4">
        <w:rPr>
          <w:rFonts w:ascii="Arial" w:hAnsi="Arial" w:cs="Arial"/>
          <w:lang w:val="en-US"/>
        </w:rPr>
        <w:t>, which</w:t>
      </w:r>
      <w:r w:rsidR="00891506">
        <w:rPr>
          <w:rFonts w:ascii="Arial" w:hAnsi="Arial" w:cs="Arial"/>
          <w:lang w:val="en-US"/>
        </w:rPr>
        <w:t xml:space="preserve"> compris</w:t>
      </w:r>
      <w:r w:rsidR="00CF66F4">
        <w:rPr>
          <w:rFonts w:ascii="Arial" w:hAnsi="Arial" w:cs="Arial"/>
          <w:lang w:val="en-US"/>
        </w:rPr>
        <w:t>es</w:t>
      </w:r>
      <w:r w:rsidR="00891506">
        <w:rPr>
          <w:rFonts w:ascii="Arial" w:hAnsi="Arial" w:cs="Arial"/>
          <w:lang w:val="en-US"/>
        </w:rPr>
        <w:t xml:space="preserve"> of distributors, travel providers, and insurance </w:t>
      </w:r>
      <w:r w:rsidR="00CF66F4">
        <w:rPr>
          <w:rFonts w:ascii="Arial" w:hAnsi="Arial" w:cs="Arial"/>
          <w:lang w:val="en-US"/>
        </w:rPr>
        <w:t>brokers/</w:t>
      </w:r>
      <w:r w:rsidR="00891506">
        <w:rPr>
          <w:rFonts w:ascii="Arial" w:hAnsi="Arial" w:cs="Arial"/>
          <w:lang w:val="en-US"/>
        </w:rPr>
        <w:t>agents,</w:t>
      </w:r>
      <w:r w:rsidR="001261B9">
        <w:rPr>
          <w:rFonts w:ascii="Arial" w:hAnsi="Arial" w:cs="Arial"/>
          <w:lang w:val="en-US"/>
        </w:rPr>
        <w:t xml:space="preserve"> and</w:t>
      </w:r>
      <w:r w:rsidR="00891506">
        <w:rPr>
          <w:rFonts w:ascii="Arial" w:hAnsi="Arial" w:cs="Arial"/>
          <w:lang w:val="en-US"/>
        </w:rPr>
        <w:t xml:space="preserve"> </w:t>
      </w:r>
      <w:r w:rsidR="001261B9">
        <w:rPr>
          <w:rFonts w:ascii="Arial" w:hAnsi="Arial" w:cs="Arial"/>
          <w:lang w:val="en-US"/>
        </w:rPr>
        <w:t>online aggregators. Third is service delivery and claims, which comprises of policy administrators, emergency service providers, and claims administrators</w:t>
      </w:r>
      <w:r w:rsidR="007B56AA">
        <w:rPr>
          <w:rFonts w:ascii="Arial" w:hAnsi="Arial" w:cs="Arial"/>
          <w:lang w:val="en-US"/>
        </w:rPr>
        <w:t>.</w:t>
      </w:r>
      <w:r w:rsidR="00891506">
        <w:rPr>
          <w:rFonts w:ascii="Arial" w:hAnsi="Arial" w:cs="Arial"/>
          <w:lang w:val="en-US"/>
        </w:rPr>
        <w:t xml:space="preserve"> </w:t>
      </w:r>
    </w:p>
    <w:p w14:paraId="11C746E4" w14:textId="0A700262" w:rsidR="00DF6E8F" w:rsidRPr="00762A88" w:rsidRDefault="00DF6E8F" w:rsidP="00DA55C9">
      <w:pPr>
        <w:spacing w:line="480" w:lineRule="auto"/>
        <w:rPr>
          <w:rFonts w:ascii="Arial" w:hAnsi="Arial" w:cs="Arial"/>
          <w:lang w:val="en-US"/>
        </w:rPr>
      </w:pPr>
      <w:r>
        <w:rPr>
          <w:rFonts w:ascii="Arial" w:hAnsi="Arial" w:cs="Arial"/>
          <w:lang w:val="en-US"/>
        </w:rPr>
        <w:tab/>
      </w:r>
      <w:r w:rsidRPr="00DF6E8F">
        <w:rPr>
          <w:rFonts w:ascii="Arial" w:hAnsi="Arial" w:cs="Arial"/>
          <w:lang w:val="en-US"/>
        </w:rPr>
        <w:t>The insurance sector is among the most stringently regulated and data-sensitive industries, making compliance testing paramount</w:t>
      </w:r>
      <w:r w:rsidR="001977CE">
        <w:rPr>
          <w:rFonts w:ascii="Arial" w:hAnsi="Arial" w:cs="Arial"/>
          <w:lang w:val="en-US"/>
        </w:rPr>
        <w:t xml:space="preserve"> </w:t>
      </w:r>
      <w:r w:rsidR="001977CE">
        <w:rPr>
          <w:rFonts w:ascii="Arial" w:hAnsi="Arial" w:cs="Arial"/>
          <w:lang w:val="en-US"/>
        </w:rPr>
        <w:fldChar w:fldCharType="begin"/>
      </w:r>
      <w:r w:rsidR="001977CE">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Pr>
          <w:rFonts w:ascii="Arial" w:hAnsi="Arial" w:cs="Arial"/>
          <w:lang w:val="en-US"/>
        </w:rPr>
        <w:fldChar w:fldCharType="separate"/>
      </w:r>
      <w:r w:rsidR="001977CE" w:rsidRPr="001977CE">
        <w:rPr>
          <w:rFonts w:ascii="Arial" w:hAnsi="Arial" w:cs="Arial"/>
        </w:rPr>
        <w:t>(Pareek, 2024)</w:t>
      </w:r>
      <w:r w:rsidR="001977CE">
        <w:rPr>
          <w:rFonts w:ascii="Arial" w:hAnsi="Arial" w:cs="Arial"/>
          <w:lang w:val="en-US"/>
        </w:rPr>
        <w:fldChar w:fldCharType="end"/>
      </w:r>
      <w:r w:rsidR="0079249B">
        <w:rPr>
          <w:rFonts w:ascii="Arial" w:hAnsi="Arial" w:cs="Arial"/>
          <w:lang w:val="en-US"/>
        </w:rPr>
        <w:t>.</w:t>
      </w:r>
      <w:r w:rsidR="00F229FA">
        <w:rPr>
          <w:rFonts w:ascii="Arial" w:hAnsi="Arial" w:cs="Arial"/>
          <w:lang w:val="en-US"/>
        </w:rPr>
        <w:t xml:space="preserve"> For 1Cover, </w:t>
      </w:r>
      <w:r w:rsidR="00F229FA" w:rsidRPr="00F229FA">
        <w:rPr>
          <w:rFonts w:ascii="Arial" w:hAnsi="Arial" w:cs="Arial"/>
          <w:lang w:val="en-US"/>
        </w:rPr>
        <w:t>SQA provides methods to ensure adherence to regulations and security mandates</w:t>
      </w:r>
      <w:r w:rsidR="00F229FA">
        <w:rPr>
          <w:rFonts w:ascii="Arial" w:hAnsi="Arial" w:cs="Arial"/>
          <w:lang w:val="en-US"/>
        </w:rPr>
        <w:t>.</w:t>
      </w:r>
      <w:r w:rsidR="00C86B50">
        <w:rPr>
          <w:rFonts w:ascii="Arial" w:hAnsi="Arial" w:cs="Arial"/>
          <w:lang w:val="en-US"/>
        </w:rPr>
        <w:t xml:space="preserve"> </w:t>
      </w:r>
      <w:r w:rsidR="00C86B50" w:rsidRPr="00C86B50">
        <w:rPr>
          <w:rFonts w:ascii="Arial" w:hAnsi="Arial" w:cs="Arial"/>
          <w:lang w:val="en-US"/>
        </w:rPr>
        <w:t>Insurers must adhere to an extensive array of regulatory frameworks,</w:t>
      </w:r>
      <w:r w:rsidR="00C86B50">
        <w:rPr>
          <w:rFonts w:ascii="Arial" w:hAnsi="Arial" w:cs="Arial"/>
          <w:lang w:val="en-US"/>
        </w:rPr>
        <w:t xml:space="preserve"> </w:t>
      </w:r>
      <w:r w:rsidR="00C86B50" w:rsidRPr="00C86B50">
        <w:rPr>
          <w:rFonts w:ascii="Arial" w:hAnsi="Arial" w:cs="Arial"/>
          <w:lang w:val="en-US"/>
        </w:rPr>
        <w:t>SQA integrates automated compliance checks and generates detailed reports, significantly mitigating the risk of non-compliance, which can result in substantial financial penalties and reputational damage</w:t>
      </w:r>
      <w:r w:rsidR="0057539F">
        <w:rPr>
          <w:rFonts w:ascii="Arial" w:hAnsi="Arial" w:cs="Arial"/>
          <w:lang w:val="en-US"/>
        </w:rPr>
        <w:t xml:space="preserve"> </w:t>
      </w:r>
      <w:r w:rsidR="0057539F">
        <w:rPr>
          <w:rFonts w:ascii="Arial" w:hAnsi="Arial" w:cs="Arial"/>
          <w:lang w:val="en-US"/>
        </w:rPr>
        <w:fldChar w:fldCharType="begin"/>
      </w:r>
      <w:r w:rsidR="0057539F">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Pr>
          <w:rFonts w:ascii="Arial" w:hAnsi="Arial" w:cs="Arial"/>
          <w:lang w:val="en-US"/>
        </w:rPr>
        <w:fldChar w:fldCharType="separate"/>
      </w:r>
      <w:r w:rsidR="0057539F" w:rsidRPr="0057539F">
        <w:rPr>
          <w:rFonts w:ascii="Arial" w:hAnsi="Arial" w:cs="Arial"/>
        </w:rPr>
        <w:t>(Pareek, 2024)</w:t>
      </w:r>
      <w:r w:rsidR="0057539F">
        <w:rPr>
          <w:rFonts w:ascii="Arial" w:hAnsi="Arial" w:cs="Arial"/>
          <w:lang w:val="en-US"/>
        </w:rPr>
        <w:fldChar w:fldCharType="end"/>
      </w:r>
      <w:r w:rsidR="00C86B50">
        <w:rPr>
          <w:rFonts w:ascii="Arial" w:hAnsi="Arial" w:cs="Arial"/>
          <w:lang w:val="en-US"/>
        </w:rPr>
        <w:t>.</w:t>
      </w:r>
    </w:p>
    <w:p w14:paraId="2ACE84FF" w14:textId="739EA691" w:rsidR="001A0625" w:rsidRPr="00762A88" w:rsidRDefault="001A0625" w:rsidP="00DA55C9">
      <w:pPr>
        <w:spacing w:line="480" w:lineRule="auto"/>
        <w:rPr>
          <w:rFonts w:ascii="Arial" w:hAnsi="Arial" w:cs="Arial"/>
          <w:lang w:val="en-US"/>
        </w:rPr>
      </w:pPr>
      <w:r w:rsidRPr="00762A88">
        <w:rPr>
          <w:rFonts w:ascii="Arial" w:hAnsi="Arial" w:cs="Arial"/>
          <w:lang w:val="en-US"/>
        </w:rPr>
        <w:lastRenderedPageBreak/>
        <w:tab/>
        <w:t xml:space="preserve">This report will analyse how Software Quality Assurance can be utilized to improve the services in </w:t>
      </w:r>
      <w:r w:rsidR="00C7712E">
        <w:rPr>
          <w:rFonts w:ascii="Arial" w:hAnsi="Arial" w:cs="Arial"/>
          <w:lang w:val="en-US"/>
        </w:rPr>
        <w:t>1Cover</w:t>
      </w:r>
      <w:r w:rsidRPr="00762A88">
        <w:rPr>
          <w:rFonts w:ascii="Arial" w:hAnsi="Arial" w:cs="Arial"/>
          <w:lang w:val="en-US"/>
        </w:rPr>
        <w:t xml:space="preserve"> Travel Insurance</w:t>
      </w:r>
      <w:r w:rsidR="00C7712E">
        <w:rPr>
          <w:rFonts w:ascii="Arial" w:hAnsi="Arial" w:cs="Arial"/>
          <w:lang w:val="en-US"/>
        </w:rPr>
        <w:t xml:space="preserve"> New Zealand</w:t>
      </w:r>
      <w:r w:rsidR="00D529FB">
        <w:rPr>
          <w:rFonts w:ascii="Arial" w:hAnsi="Arial" w:cs="Arial"/>
          <w:lang w:val="en-US"/>
        </w:rPr>
        <w:t>.</w:t>
      </w:r>
      <w:r w:rsidR="0028382D">
        <w:rPr>
          <w:rFonts w:ascii="Arial" w:hAnsi="Arial" w:cs="Arial"/>
          <w:lang w:val="en-US"/>
        </w:rPr>
        <w:t xml:space="preserve"> The second part will discuss the QA Frameworks</w:t>
      </w:r>
      <w:r w:rsidR="004B7B42">
        <w:rPr>
          <w:rFonts w:ascii="Arial" w:hAnsi="Arial" w:cs="Arial"/>
          <w:lang w:val="en-US"/>
        </w:rPr>
        <w:t>. The third part will discuss</w:t>
      </w:r>
      <w:r w:rsidR="0005725B">
        <w:rPr>
          <w:rFonts w:ascii="Arial" w:hAnsi="Arial" w:cs="Arial"/>
          <w:lang w:val="en-US"/>
        </w:rPr>
        <w:t xml:space="preserve"> the e</w:t>
      </w:r>
      <w:r w:rsidR="0005725B" w:rsidRPr="0005725B">
        <w:rPr>
          <w:rFonts w:ascii="Arial" w:hAnsi="Arial" w:cs="Arial"/>
          <w:lang w:val="en-US"/>
        </w:rPr>
        <w:t xml:space="preserve">valuation of QA </w:t>
      </w:r>
      <w:r w:rsidR="002F5C7F">
        <w:rPr>
          <w:rFonts w:ascii="Arial" w:hAnsi="Arial" w:cs="Arial"/>
          <w:lang w:val="en-US"/>
        </w:rPr>
        <w:t>t</w:t>
      </w:r>
      <w:r w:rsidR="0005725B" w:rsidRPr="0005725B">
        <w:rPr>
          <w:rFonts w:ascii="Arial" w:hAnsi="Arial" w:cs="Arial"/>
          <w:lang w:val="en-US"/>
        </w:rPr>
        <w:t xml:space="preserve">ools and </w:t>
      </w:r>
      <w:r w:rsidR="002F5C7F">
        <w:rPr>
          <w:rFonts w:ascii="Arial" w:hAnsi="Arial" w:cs="Arial"/>
          <w:lang w:val="en-US"/>
        </w:rPr>
        <w:t>a</w:t>
      </w:r>
      <w:r w:rsidR="0005725B" w:rsidRPr="0005725B">
        <w:rPr>
          <w:rFonts w:ascii="Arial" w:hAnsi="Arial" w:cs="Arial"/>
          <w:lang w:val="en-US"/>
        </w:rPr>
        <w:t>pproaches</w:t>
      </w:r>
      <w:r w:rsidR="002F5C7F">
        <w:rPr>
          <w:rFonts w:ascii="Arial" w:hAnsi="Arial" w:cs="Arial"/>
          <w:lang w:val="en-US"/>
        </w:rPr>
        <w:t>.</w:t>
      </w:r>
      <w:r w:rsidR="009F7DB7">
        <w:rPr>
          <w:rFonts w:ascii="Arial" w:hAnsi="Arial" w:cs="Arial"/>
          <w:lang w:val="en-US"/>
        </w:rPr>
        <w:t xml:space="preserve"> The fourth part will discuss</w:t>
      </w:r>
      <w:r w:rsidR="003725E7">
        <w:rPr>
          <w:rFonts w:ascii="Arial" w:hAnsi="Arial" w:cs="Arial"/>
          <w:lang w:val="en-US"/>
        </w:rPr>
        <w:t xml:space="preserve"> r</w:t>
      </w:r>
      <w:r w:rsidR="003725E7" w:rsidRPr="003725E7">
        <w:rPr>
          <w:rFonts w:ascii="Arial" w:hAnsi="Arial" w:cs="Arial"/>
          <w:lang w:val="en-US"/>
        </w:rPr>
        <w:t xml:space="preserve">isk </w:t>
      </w:r>
      <w:r w:rsidR="003725E7">
        <w:rPr>
          <w:rFonts w:ascii="Arial" w:hAnsi="Arial" w:cs="Arial"/>
          <w:lang w:val="en-US"/>
        </w:rPr>
        <w:t>a</w:t>
      </w:r>
      <w:r w:rsidR="003725E7" w:rsidRPr="003725E7">
        <w:rPr>
          <w:rFonts w:ascii="Arial" w:hAnsi="Arial" w:cs="Arial"/>
          <w:lang w:val="en-US"/>
        </w:rPr>
        <w:t xml:space="preserve">nalysis and </w:t>
      </w:r>
      <w:r w:rsidR="003725E7">
        <w:rPr>
          <w:rFonts w:ascii="Arial" w:hAnsi="Arial" w:cs="Arial"/>
          <w:lang w:val="en-US"/>
        </w:rPr>
        <w:t>r</w:t>
      </w:r>
      <w:r w:rsidR="003725E7" w:rsidRPr="003725E7">
        <w:rPr>
          <w:rFonts w:ascii="Arial" w:hAnsi="Arial" w:cs="Arial"/>
          <w:lang w:val="en-US"/>
        </w:rPr>
        <w:t>ecommendation</w:t>
      </w:r>
      <w:r w:rsidR="003725E7">
        <w:rPr>
          <w:rFonts w:ascii="Arial" w:hAnsi="Arial" w:cs="Arial"/>
          <w:lang w:val="en-US"/>
        </w:rPr>
        <w:t>. The fifth part will discuss</w:t>
      </w:r>
      <w:r w:rsidR="00833438">
        <w:rPr>
          <w:rFonts w:ascii="Arial" w:hAnsi="Arial" w:cs="Arial"/>
          <w:lang w:val="en-US"/>
        </w:rPr>
        <w:t xml:space="preserve"> f</w:t>
      </w:r>
      <w:r w:rsidR="00833438" w:rsidRPr="00833438">
        <w:rPr>
          <w:rFonts w:ascii="Arial" w:hAnsi="Arial" w:cs="Arial"/>
          <w:lang w:val="en-US"/>
        </w:rPr>
        <w:t xml:space="preserve">uture </w:t>
      </w:r>
      <w:r w:rsidR="00833438">
        <w:rPr>
          <w:rFonts w:ascii="Arial" w:hAnsi="Arial" w:cs="Arial"/>
          <w:lang w:val="en-US"/>
        </w:rPr>
        <w:t>t</w:t>
      </w:r>
      <w:r w:rsidR="00833438" w:rsidRPr="00833438">
        <w:rPr>
          <w:rFonts w:ascii="Arial" w:hAnsi="Arial" w:cs="Arial"/>
          <w:lang w:val="en-US"/>
        </w:rPr>
        <w:t xml:space="preserve">rends and </w:t>
      </w:r>
      <w:r w:rsidR="00833438">
        <w:rPr>
          <w:rFonts w:ascii="Arial" w:hAnsi="Arial" w:cs="Arial"/>
          <w:lang w:val="en-US"/>
        </w:rPr>
        <w:t>s</w:t>
      </w:r>
      <w:r w:rsidR="00833438" w:rsidRPr="00833438">
        <w:rPr>
          <w:rFonts w:ascii="Arial" w:hAnsi="Arial" w:cs="Arial"/>
          <w:lang w:val="en-US"/>
        </w:rPr>
        <w:t xml:space="preserve">trategic </w:t>
      </w:r>
      <w:r w:rsidR="00833438">
        <w:rPr>
          <w:rFonts w:ascii="Arial" w:hAnsi="Arial" w:cs="Arial"/>
          <w:lang w:val="en-US"/>
        </w:rPr>
        <w:t>i</w:t>
      </w:r>
      <w:r w:rsidR="00833438" w:rsidRPr="00833438">
        <w:rPr>
          <w:rFonts w:ascii="Arial" w:hAnsi="Arial" w:cs="Arial"/>
          <w:lang w:val="en-US"/>
        </w:rPr>
        <w:t>ntegration</w:t>
      </w:r>
      <w:r w:rsidR="00833438">
        <w:rPr>
          <w:rFonts w:ascii="Arial" w:hAnsi="Arial" w:cs="Arial"/>
          <w:lang w:val="en-US"/>
        </w:rPr>
        <w:t>. The sixth part will summarize and provide the conclusion</w:t>
      </w:r>
    </w:p>
    <w:p w14:paraId="004856B2" w14:textId="77777777" w:rsidR="007F4A81" w:rsidRPr="00762A88" w:rsidRDefault="007F4A81" w:rsidP="00DA55C9">
      <w:pPr>
        <w:spacing w:line="480" w:lineRule="auto"/>
        <w:rPr>
          <w:rFonts w:ascii="Arial" w:hAnsi="Arial" w:cs="Arial"/>
          <w:lang w:val="en-US"/>
        </w:rPr>
      </w:pPr>
    </w:p>
    <w:p w14:paraId="64E40B86" w14:textId="77777777" w:rsidR="00D0776E" w:rsidRPr="00762A88" w:rsidRDefault="00D0776E" w:rsidP="00DA55C9">
      <w:pPr>
        <w:spacing w:line="480" w:lineRule="auto"/>
        <w:rPr>
          <w:rFonts w:ascii="Arial" w:hAnsi="Arial" w:cs="Arial"/>
          <w:lang w:val="en-US"/>
        </w:rPr>
      </w:pPr>
    </w:p>
    <w:p w14:paraId="3A333D4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State the purpose of the report and scope (organisation-wide BIS at NZ Post), and how you have selected frameworks and tools using both literature and the NZ Post context.</w:t>
      </w:r>
    </w:p>
    <w:p w14:paraId="5AC220BC"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Place your introduction in the NZ Post BIS landscape; looking at customer-facing portals, tracking APIs, logistics orchestration, warehouse robotics, partner e-commerce integrations, billing/payment systems, CRM, regulatory requirements (privacy, payment card), and peak volume seasons.</w:t>
      </w:r>
    </w:p>
    <w:p w14:paraId="24D5939D" w14:textId="646EADA0" w:rsidR="00D0776E" w:rsidRPr="00762A88" w:rsidRDefault="00D0776E" w:rsidP="00DA55C9">
      <w:pPr>
        <w:spacing w:line="480" w:lineRule="auto"/>
        <w:rPr>
          <w:rFonts w:ascii="Arial" w:hAnsi="Arial" w:cs="Arial"/>
          <w:lang w:val="en-US"/>
        </w:rPr>
      </w:pPr>
      <w:r w:rsidRPr="00762A88">
        <w:rPr>
          <w:rFonts w:ascii="Arial" w:hAnsi="Arial" w:cs="Arial"/>
          <w:lang w:val="en-US"/>
        </w:rPr>
        <w:t>Discuss Key Quality of Service (QoS) requirements, such as availability Service Level Agreements (SLA), data integrity, throughput at peak periods, security and privacy. Ensure all recommendations are grounded in the organisations context.</w:t>
      </w:r>
    </w:p>
    <w:p w14:paraId="17FB326C" w14:textId="77777777" w:rsidR="00D0776E" w:rsidRPr="00762A88" w:rsidRDefault="00D0776E" w:rsidP="00DA55C9">
      <w:pPr>
        <w:spacing w:line="480" w:lineRule="auto"/>
        <w:rPr>
          <w:rFonts w:ascii="Arial" w:hAnsi="Arial" w:cs="Arial"/>
          <w:lang w:val="en-US"/>
        </w:rPr>
      </w:pPr>
    </w:p>
    <w:p w14:paraId="52D59D12" w14:textId="589B3502"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3</w:t>
      </w:r>
      <w:r w:rsidR="007F4A81" w:rsidRPr="00762A88">
        <w:rPr>
          <w:rFonts w:ascii="Arial" w:hAnsi="Arial" w:cs="Arial"/>
          <w:b/>
          <w:bCs/>
          <w:lang w:val="en-US"/>
        </w:rPr>
        <w:t>. QA Methodologies and Framework</w:t>
      </w:r>
      <w:r w:rsidR="00043097">
        <w:rPr>
          <w:rFonts w:ascii="Arial" w:hAnsi="Arial" w:cs="Arial"/>
          <w:b/>
          <w:bCs/>
          <w:lang w:val="en-US"/>
        </w:rPr>
        <w:t xml:space="preserve"> (</w:t>
      </w:r>
      <w:r w:rsidR="00E2166B">
        <w:rPr>
          <w:rFonts w:ascii="Arial" w:hAnsi="Arial" w:cs="Arial"/>
          <w:b/>
          <w:bCs/>
          <w:lang w:val="en-US"/>
        </w:rPr>
        <w:t>600</w:t>
      </w:r>
      <w:r w:rsidR="00043097">
        <w:rPr>
          <w:rFonts w:ascii="Arial" w:hAnsi="Arial" w:cs="Arial"/>
          <w:b/>
          <w:bCs/>
          <w:lang w:val="en-US"/>
        </w:rPr>
        <w:t xml:space="preserve"> words)</w:t>
      </w:r>
    </w:p>
    <w:p w14:paraId="2E6F8F52" w14:textId="77777777" w:rsidR="00BC57AC" w:rsidRPr="00BC57AC" w:rsidRDefault="00BC57AC" w:rsidP="00BC57AC">
      <w:pPr>
        <w:spacing w:line="480" w:lineRule="auto"/>
        <w:rPr>
          <w:rFonts w:ascii="Arial" w:hAnsi="Arial" w:cs="Arial"/>
          <w:lang w:val="en-US"/>
        </w:rPr>
      </w:pPr>
      <w:r>
        <w:rPr>
          <w:rFonts w:ascii="Arial" w:hAnsi="Arial" w:cs="Arial"/>
          <w:lang w:val="en-US"/>
        </w:rPr>
        <w:tab/>
      </w:r>
      <w:r w:rsidRPr="00BC57AC">
        <w:rPr>
          <w:rFonts w:ascii="Arial" w:hAnsi="Arial" w:cs="Arial"/>
          <w:lang w:val="en-US"/>
        </w:rPr>
        <w:t xml:space="preserve">Establishing a high-assurance, organisation-wide Quality Assurance (QA) framework is essential for 1Cover Travel Insurance New Zealand, given its reliance on digital sales funnels, online claims lodgement, automated underwriting engines, </w:t>
      </w:r>
      <w:r w:rsidRPr="00BC57AC">
        <w:rPr>
          <w:rFonts w:ascii="Arial" w:hAnsi="Arial" w:cs="Arial"/>
          <w:lang w:val="en-US"/>
        </w:rPr>
        <w:lastRenderedPageBreak/>
        <w:t>partner APIs, and regulated data processing. To achieve this, 1Cover requires a structured, comparative approach to QA methodologies that aligns with both New Zealand’s regulatory environment (Privacy Act 2020, Fair Trading Act, PCI-DSS expectations) and internationally recognised quality frameworks.</w:t>
      </w:r>
    </w:p>
    <w:p w14:paraId="08DA1AAE" w14:textId="77777777" w:rsidR="00BC57AC" w:rsidRPr="00BC57AC" w:rsidRDefault="00BC57AC" w:rsidP="00BC57AC">
      <w:pPr>
        <w:spacing w:line="480" w:lineRule="auto"/>
        <w:rPr>
          <w:rFonts w:ascii="Arial" w:hAnsi="Arial" w:cs="Arial"/>
          <w:lang w:val="en-US"/>
        </w:rPr>
      </w:pPr>
    </w:p>
    <w:p w14:paraId="323E292D"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A number of established QA methodologies provide potential governance pathways. ISO/IEC 25010 defines the gold-standard software product quality characteristics, including security, reliability, performance efficiency, compatibility, maintainability, and usability. For a consumer-facing travel insurance provider, these characteristics map directly to 1Cover’s operational risks—particularly secure claims data handling, high-availability quote systems, and seamless mobile usability for travellers overseas. In contrast, TMMi (Test Maturity Model integration) serves as a capability maturity framework focused on organisational-level testing process improvement. TMMi’s staged model (Levels 1–5) enables a progressive uplift in test governance, automation adoption, and metrics-driven quality control. Meanwhile COBIT 2019 and ITIL 4 provide broader IT governance and service management disciplines, ensuring alignment between IT operations, risk controls, and business objectives—essential for insurance organisations managing continuous product changes, third-party integrations, and compliance requirements.</w:t>
      </w:r>
    </w:p>
    <w:p w14:paraId="15BE8462" w14:textId="77777777" w:rsidR="00BC57AC" w:rsidRPr="00BC57AC" w:rsidRDefault="00BC57AC" w:rsidP="00BC57AC">
      <w:pPr>
        <w:spacing w:line="480" w:lineRule="auto"/>
        <w:rPr>
          <w:rFonts w:ascii="Arial" w:hAnsi="Arial" w:cs="Arial"/>
          <w:lang w:val="en-US"/>
        </w:rPr>
      </w:pPr>
    </w:p>
    <w:p w14:paraId="48E95FB2"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 xml:space="preserve">For 1Cover, a hybrid model offers the best strategic value. COBIT 2019 would act as the overarching governance framework, ensuring clear ownership of risk, accountability, and decision rights across the technology and business teams. ITIL 4 complements this by operationalising service quality through change enablement, </w:t>
      </w:r>
      <w:r w:rsidRPr="00BC57AC">
        <w:rPr>
          <w:rFonts w:ascii="Arial" w:hAnsi="Arial" w:cs="Arial"/>
          <w:lang w:val="en-US"/>
        </w:rPr>
        <w:lastRenderedPageBreak/>
        <w:t>incident management, problem management, and continual improvement—all essential for maintaining uninterrupted quoting and claims services in periods of high travel demand or global disruption events. ISO 25010 should then define the core quality attributes for all 1Cover digital products, ensuring measurable benchmarks for reliability, performance, usability, and security. Finally, TMMi provides the maturity roadmap for QA execution, with 1Cover positioned at an estimated TMMi Level 2–3 today (structured test process, basic test planning, but uneven automation maturity) and targeting Level 4 within 24 months. Level 4 introduces quantitative quality management, centralised quality metrics, predictive analytics, and consistent defect-prevention practices—aligned with 1Cover’s modernisation goals.</w:t>
      </w:r>
    </w:p>
    <w:p w14:paraId="3C08FD11" w14:textId="77777777" w:rsidR="00BC57AC" w:rsidRPr="00BC57AC" w:rsidRDefault="00BC57AC" w:rsidP="00BC57AC">
      <w:pPr>
        <w:spacing w:line="480" w:lineRule="auto"/>
        <w:rPr>
          <w:rFonts w:ascii="Arial" w:hAnsi="Arial" w:cs="Arial"/>
          <w:lang w:val="en-US"/>
        </w:rPr>
      </w:pPr>
    </w:p>
    <w:p w14:paraId="3FE14101"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In addition, DevOps QA practices, including shift-left and shift-right, are critical for maintaining delivery velocity while improving product reliability. Shift-left enables early defect detection through automated unit tests, API contract tests, and security scanning integrated into CI/CD pipelines. Shift-right supports production observability and resilience through synthetic monitoring, chaos testing, and telemetry-driven continuous improvement. For 1Cover, this ensures both legacy systems (claims management back-end, policy administration) and modern microservices (pricing engines, partner APIs, mobile-first web components) receive unified quality governance.</w:t>
      </w:r>
    </w:p>
    <w:p w14:paraId="3F87964F" w14:textId="77777777" w:rsidR="00BC57AC" w:rsidRPr="00BC57AC" w:rsidRDefault="00BC57AC" w:rsidP="00BC57AC">
      <w:pPr>
        <w:spacing w:line="480" w:lineRule="auto"/>
        <w:rPr>
          <w:rFonts w:ascii="Arial" w:hAnsi="Arial" w:cs="Arial"/>
          <w:lang w:val="en-US"/>
        </w:rPr>
      </w:pPr>
    </w:p>
    <w:p w14:paraId="2204C693" w14:textId="4F9E3176" w:rsidR="007F4A81" w:rsidRDefault="00BC57AC" w:rsidP="00BC57AC">
      <w:pPr>
        <w:spacing w:line="480" w:lineRule="auto"/>
        <w:rPr>
          <w:rFonts w:ascii="Arial" w:hAnsi="Arial" w:cs="Arial"/>
          <w:lang w:val="en-US"/>
        </w:rPr>
      </w:pPr>
      <w:r w:rsidRPr="00BC57AC">
        <w:rPr>
          <w:rFonts w:ascii="Arial" w:hAnsi="Arial" w:cs="Arial"/>
          <w:lang w:val="en-US"/>
        </w:rPr>
        <w:t xml:space="preserve">The proposed hybrid QA framework also strengthens regulatory and compliance assurance. COBIT ensures traceability of decisions and controls; ISO 25010 embeds secure software design principles; TMMi enforces structured testing practices; and </w:t>
      </w:r>
      <w:r w:rsidRPr="00BC57AC">
        <w:rPr>
          <w:rFonts w:ascii="Arial" w:hAnsi="Arial" w:cs="Arial"/>
          <w:lang w:val="en-US"/>
        </w:rPr>
        <w:lastRenderedPageBreak/>
        <w:t>DevOps tooling enables continuous security testing (SAST, DAST, dependency scanning). These collectively support compliance with the Privacy Act 2020, PCI-DSS, and industry expectations for financial service providers.</w:t>
      </w:r>
    </w:p>
    <w:p w14:paraId="59131AF6" w14:textId="77777777" w:rsidR="00BC57AC" w:rsidRDefault="00BC57AC" w:rsidP="00BC57AC">
      <w:pPr>
        <w:spacing w:line="480" w:lineRule="auto"/>
        <w:rPr>
          <w:rFonts w:ascii="Arial" w:hAnsi="Arial" w:cs="Arial"/>
          <w:lang w:val="en-US"/>
        </w:rPr>
      </w:pPr>
    </w:p>
    <w:p w14:paraId="4DF2B9C1" w14:textId="77777777" w:rsidR="00BC57AC" w:rsidRDefault="00BC57AC" w:rsidP="00BC57AC">
      <w:pPr>
        <w:spacing w:line="480" w:lineRule="auto"/>
        <w:rPr>
          <w:rFonts w:ascii="Arial" w:hAnsi="Arial" w:cs="Arial"/>
          <w:lang w:val="en-US"/>
        </w:rPr>
      </w:pPr>
    </w:p>
    <w:p w14:paraId="1C61F62F" w14:textId="77777777" w:rsidR="00BC57AC" w:rsidRDefault="00BC57AC" w:rsidP="00BC57AC">
      <w:pPr>
        <w:spacing w:line="480" w:lineRule="auto"/>
        <w:rPr>
          <w:rFonts w:ascii="Arial" w:hAnsi="Arial" w:cs="Arial"/>
          <w:lang w:val="en-US"/>
        </w:rPr>
      </w:pPr>
    </w:p>
    <w:p w14:paraId="04D0A17C" w14:textId="62EB0432" w:rsidR="00BC57AC" w:rsidRPr="00762A88" w:rsidRDefault="00F113DF" w:rsidP="00BC57AC">
      <w:pPr>
        <w:spacing w:line="480" w:lineRule="auto"/>
        <w:rPr>
          <w:rFonts w:ascii="Arial" w:hAnsi="Arial" w:cs="Arial"/>
          <w:lang w:val="en-US"/>
        </w:rPr>
      </w:pPr>
      <w:r>
        <w:rPr>
          <w:rFonts w:ascii="Arial" w:hAnsi="Arial" w:cs="Arial"/>
          <w:noProof/>
          <w:lang w:val="en-US"/>
        </w:rPr>
        <w:drawing>
          <wp:inline distT="0" distB="0" distL="0" distR="0" wp14:anchorId="72C133F2" wp14:editId="2517B0C8">
            <wp:extent cx="6199342" cy="3020060"/>
            <wp:effectExtent l="0" t="0" r="0" b="8890"/>
            <wp:docPr id="9061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5822" cy="3023217"/>
                    </a:xfrm>
                    <a:prstGeom prst="rect">
                      <a:avLst/>
                    </a:prstGeom>
                    <a:noFill/>
                  </pic:spPr>
                </pic:pic>
              </a:graphicData>
            </a:graphic>
          </wp:inline>
        </w:drawing>
      </w:r>
    </w:p>
    <w:p w14:paraId="48E08F17"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Make this section strategic, comparative, and tailored, do not list methodologies as in assessment 1. Compare and choose for organisation-level governance.</w:t>
      </w:r>
    </w:p>
    <w:p w14:paraId="69DE3B39"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Produce short critical comparison, for instance of TMMi, ISO/IEC 25010/25000, COBIT 2019, ITIL 4, DevOps QA governance / Shift-left / Shift-right and look at how they fit for NZ Post.</w:t>
      </w:r>
    </w:p>
    <w:p w14:paraId="0D92D9B2"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Propose a recommendation. In this case a hybrid - COBIT/ITIL for governance and ISO 25010 for product quality characteristics and TMMi maturity path and DevOps practices for delivery velocity.</w:t>
      </w:r>
    </w:p>
    <w:p w14:paraId="55B628ED"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lastRenderedPageBreak/>
        <w:t>Explain how this governs both legacy sorting systems and modern microservices/APIs. What are the maturity target, for instance currently TMMi Level 3 moving to Level 4 in 24 months, and provide the rationale and metrics.</w:t>
      </w:r>
    </w:p>
    <w:p w14:paraId="484CECD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Explain how the chosen frameworks ensure regulatory compliance; such as privacy or financial, vendor governance, and cross-functional QA ownership.</w:t>
      </w:r>
    </w:p>
    <w:p w14:paraId="5836272C" w14:textId="4A266DF6" w:rsidR="00D0776E" w:rsidRPr="00762A88" w:rsidRDefault="00D0776E" w:rsidP="00DA55C9">
      <w:pPr>
        <w:spacing w:line="480" w:lineRule="auto"/>
        <w:rPr>
          <w:rFonts w:ascii="Arial" w:hAnsi="Arial" w:cs="Arial"/>
          <w:lang w:val="en-US"/>
        </w:rPr>
      </w:pPr>
      <w:r w:rsidRPr="00762A88">
        <w:rPr>
          <w:rFonts w:ascii="Arial" w:hAnsi="Arial" w:cs="Arial"/>
          <w:lang w:val="en-US"/>
        </w:rPr>
        <w:t>Include an RACI diagram from your board to your engineers showing who is Responsible, Accountable, Consulted and Informed.</w:t>
      </w:r>
    </w:p>
    <w:p w14:paraId="362D7F99" w14:textId="68C24BF3"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4</w:t>
      </w:r>
      <w:r w:rsidR="007F4A81" w:rsidRPr="00762A88">
        <w:rPr>
          <w:rFonts w:ascii="Arial" w:hAnsi="Arial" w:cs="Arial"/>
          <w:b/>
          <w:bCs/>
          <w:lang w:val="en-US"/>
        </w:rPr>
        <w:t>. Evaluation of QA Tools and Approaches</w:t>
      </w:r>
      <w:r w:rsidR="002A6B15">
        <w:rPr>
          <w:rFonts w:ascii="Arial" w:hAnsi="Arial" w:cs="Arial"/>
          <w:b/>
          <w:bCs/>
          <w:lang w:val="en-US"/>
        </w:rPr>
        <w:t xml:space="preserve"> (600 words)</w:t>
      </w:r>
    </w:p>
    <w:p w14:paraId="32CDCAC9"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valuating QA tools for 1Cover Travel Insurance New Zealand requires assessing not only the technical capabilities of each solution but also its suitability to New Zealand’s regulatory context, team skill levels, cloud strategy, and the operational characteristics of a digital-first insurance provider. Because 1Cover relies on online quote forms, automated underwriting, policy issuance, mobile-friendly claim lodgement, and integrations with comparison websites or travel partners, its QA toolset must support high reliability, strong observability, and frictionless integration with CI/CD pipelines. Cost efficiency is also important, as New Zealand-based engineering teams typically operate with lean staffing and pragmatic tool budgets.</w:t>
      </w:r>
    </w:p>
    <w:p w14:paraId="1BE94369" w14:textId="77777777" w:rsidR="003B05BB" w:rsidRPr="003B05BB" w:rsidRDefault="003B05BB" w:rsidP="003B05BB">
      <w:pPr>
        <w:spacing w:line="480" w:lineRule="auto"/>
        <w:rPr>
          <w:rFonts w:ascii="Arial" w:hAnsi="Arial" w:cs="Arial"/>
          <w:lang w:val="en-US"/>
        </w:rPr>
      </w:pPr>
    </w:p>
    <w:p w14:paraId="5ECBCF93"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For test management and QA governance, Jira combined with Xray or TestRail provides strong enterprise coverage. Both tools support requirement-to-test traceability, structured test cycles, audit-ready reporting, and end-to-end visibility across regression suites. These features are especially important for regulated insurance operations, where demonstrating adherence to the Privacy Act 2020, fair disclosure obligations, and PCI-DSS requirements is vital. Xray offers deeper native </w:t>
      </w:r>
      <w:r w:rsidRPr="003B05BB">
        <w:rPr>
          <w:rFonts w:ascii="Arial" w:hAnsi="Arial" w:cs="Arial"/>
          <w:lang w:val="en-US"/>
        </w:rPr>
        <w:lastRenderedPageBreak/>
        <w:t>Jira integration, making it suitable for organisations wanting to keep governance inside a single tool. TestRail provides greater enterprise reporting and scalability but at a higher licensing cost. For 1Cover, either option offers strong correctness, usability, and governance maturity with minimal vendor lock-in.</w:t>
      </w:r>
    </w:p>
    <w:p w14:paraId="4BE713FB" w14:textId="77777777" w:rsidR="003B05BB" w:rsidRPr="003B05BB" w:rsidRDefault="003B05BB" w:rsidP="003B05BB">
      <w:pPr>
        <w:spacing w:line="480" w:lineRule="auto"/>
        <w:rPr>
          <w:rFonts w:ascii="Arial" w:hAnsi="Arial" w:cs="Arial"/>
          <w:lang w:val="en-US"/>
        </w:rPr>
      </w:pPr>
    </w:p>
    <w:p w14:paraId="7AF6509B"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In the area of test automation, Playwright or Cypress for web UI and Appium for mobile provide robust coverage of portals and device scenarios. Playwright’s architecture supports cross-browser automation, parallel execution, and resilient selectors—highly valuable for testing dynamic quote forms and claims journeys. Cypress offers superior developer experience and rapid feedback loops, making it ideal for shift-left practices. Appium ensures consistent testing of mobile experiences, including overseas travellers accessing claims portals from diverse devices. All three integrate cleanly with GitHub Actions or Jenkins, reduce operational overhead through containerised pipelines, and avoid proprietary lock-in due to their open-source nature.</w:t>
      </w:r>
    </w:p>
    <w:p w14:paraId="567F5500" w14:textId="77777777" w:rsidR="003B05BB" w:rsidRPr="003B05BB" w:rsidRDefault="003B05BB" w:rsidP="003B05BB">
      <w:pPr>
        <w:spacing w:line="480" w:lineRule="auto"/>
        <w:rPr>
          <w:rFonts w:ascii="Arial" w:hAnsi="Arial" w:cs="Arial"/>
          <w:lang w:val="en-US"/>
        </w:rPr>
      </w:pPr>
    </w:p>
    <w:p w14:paraId="6DECC33A"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For API and contract testing, Pact enables consumer-driven contract testing that reduces integration failures between 1Cover and partners such as aggregators, payment services, and travel platforms. Postman with Newman complements Pact through easy test authoring, collaboration, and CI execution. These tools support reliability by preventing breaking changes and ensuring stability of key backend services such as pricing engines, policy issuance APIs, and claims submission endpoints. ReadyAPI is an enterprise alternative but introduces higher cost and risk </w:t>
      </w:r>
      <w:r w:rsidRPr="003B05BB">
        <w:rPr>
          <w:rFonts w:ascii="Arial" w:hAnsi="Arial" w:cs="Arial"/>
          <w:lang w:val="en-US"/>
        </w:rPr>
        <w:lastRenderedPageBreak/>
        <w:t>of vendor dependency; thus, Pact + Postman is usually the best fit for NZ-based mid-sized teams.</w:t>
      </w:r>
    </w:p>
    <w:p w14:paraId="2F0A8D4B" w14:textId="77777777" w:rsidR="003B05BB" w:rsidRPr="003B05BB" w:rsidRDefault="003B05BB" w:rsidP="003B05BB">
      <w:pPr>
        <w:spacing w:line="480" w:lineRule="auto"/>
        <w:rPr>
          <w:rFonts w:ascii="Arial" w:hAnsi="Arial" w:cs="Arial"/>
          <w:lang w:val="en-US"/>
        </w:rPr>
      </w:pPr>
    </w:p>
    <w:p w14:paraId="42DB4E96"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Because 1Cover experiences seasonal spikes—especially during holiday travel periods—performance and load testing tools such as Gatling, JMeter, or k6 are necessary. Gatling and k6 provide developer-friendly scripting suitable for embedding into CI pipelines, while JMeter remains a mature option for protocol-heavy scenarios. Cloud-based load execution ensures realistic simulation of peak conditions without requiring high infrastructure overhead. These tools directly support 1Cover’s reliability, throughput validation, and SLA compliance objectives.</w:t>
      </w:r>
    </w:p>
    <w:p w14:paraId="7262B03F" w14:textId="77777777" w:rsidR="003B05BB" w:rsidRPr="003B05BB" w:rsidRDefault="003B05BB" w:rsidP="003B05BB">
      <w:pPr>
        <w:spacing w:line="480" w:lineRule="auto"/>
        <w:rPr>
          <w:rFonts w:ascii="Arial" w:hAnsi="Arial" w:cs="Arial"/>
          <w:lang w:val="en-US"/>
        </w:rPr>
      </w:pPr>
    </w:p>
    <w:p w14:paraId="4F106655"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Insurance services process sensitive customer information, making security testing essential. OWASP ZAP and Burp Suite support dynamic application security testing (DAST), while SonarQube offers SAST for code-level vulnerabilities. Snyk adds dependency scanning to detect third-party library risks. Together, these tools strengthen 1Cover’s compliance with New Zealand privacy laws and industry security expectations. Their integration into CI/CD enables automated risk detection and continuous hardening of the software supply chain.</w:t>
      </w:r>
    </w:p>
    <w:p w14:paraId="4332B80D" w14:textId="77777777" w:rsidR="003B05BB" w:rsidRPr="003B05BB" w:rsidRDefault="003B05BB" w:rsidP="003B05BB">
      <w:pPr>
        <w:spacing w:line="480" w:lineRule="auto"/>
        <w:rPr>
          <w:rFonts w:ascii="Arial" w:hAnsi="Arial" w:cs="Arial"/>
          <w:lang w:val="en-US"/>
        </w:rPr>
      </w:pPr>
    </w:p>
    <w:p w14:paraId="0BCB9727"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For CI/CD orchestration, GitHub Actions or Jenkins—paired with Kubernetes deployment gates—provide reliable build automation and safe progressive rollouts. GitHub Actions minimises operational overhead due to its cloud-native nature, while Jenkins offers flexibility for hybrid environments. Kubernetes gating ensures that </w:t>
      </w:r>
      <w:r w:rsidRPr="003B05BB">
        <w:rPr>
          <w:rFonts w:ascii="Arial" w:hAnsi="Arial" w:cs="Arial"/>
          <w:lang w:val="en-US"/>
        </w:rPr>
        <w:lastRenderedPageBreak/>
        <w:t>automated tests, security scans, and performance checks are executed before deployment, boosting release reliability.</w:t>
      </w:r>
    </w:p>
    <w:p w14:paraId="1C727123" w14:textId="77777777" w:rsidR="003B05BB" w:rsidRPr="003B05BB" w:rsidRDefault="003B05BB" w:rsidP="003B05BB">
      <w:pPr>
        <w:spacing w:line="480" w:lineRule="auto"/>
        <w:rPr>
          <w:rFonts w:ascii="Arial" w:hAnsi="Arial" w:cs="Arial"/>
          <w:lang w:val="en-US"/>
        </w:rPr>
      </w:pPr>
    </w:p>
    <w:p w14:paraId="6D6B0781"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Finally, observability is critical for shift-right assurance. ELK/EFK stacks, Prometheus, and Grafana enable full observability across logs, metrics, and traces. These tools support monitoring production SLOs such as quote response times, error rates, and claim submission latency. As 1Cover adopts more AI-driven pricing or fraud models, tools such as MLflow, SHAP, or AIF360 ensure model governance, fairness, and drift detection.</w:t>
      </w:r>
    </w:p>
    <w:p w14:paraId="3E0BDE1E" w14:textId="77777777" w:rsidR="003B05BB" w:rsidRPr="003B05BB" w:rsidRDefault="003B05BB" w:rsidP="003B05BB">
      <w:pPr>
        <w:spacing w:line="480" w:lineRule="auto"/>
        <w:rPr>
          <w:rFonts w:ascii="Arial" w:hAnsi="Arial" w:cs="Arial"/>
          <w:lang w:val="en-US"/>
        </w:rPr>
      </w:pPr>
    </w:p>
    <w:p w14:paraId="20F884D6" w14:textId="24791180" w:rsidR="003B05BB" w:rsidRDefault="003B05BB" w:rsidP="003B05BB">
      <w:pPr>
        <w:spacing w:line="480" w:lineRule="auto"/>
        <w:rPr>
          <w:rFonts w:ascii="Arial" w:hAnsi="Arial" w:cs="Arial"/>
          <w:lang w:val="en-US"/>
        </w:rPr>
      </w:pPr>
      <w:r w:rsidRPr="003B05BB">
        <w:rPr>
          <w:rFonts w:ascii="Arial" w:hAnsi="Arial" w:cs="Arial"/>
          <w:lang w:val="en-US"/>
        </w:rPr>
        <w:t>Overall, the recommended toolset balances cost, correctness, regulatory alignment, and maintainability—positioning 1Cover to scale quality assurance across its entire digital ecosystem.</w:t>
      </w:r>
      <w:r w:rsidR="000403AD">
        <w:rPr>
          <w:rFonts w:ascii="Arial" w:hAnsi="Arial" w:cs="Arial"/>
          <w:lang w:val="en-US"/>
        </w:rPr>
        <w:t>g</w:t>
      </w:r>
      <w:r w:rsidR="0030160D">
        <w:rPr>
          <w:rFonts w:ascii="Arial" w:hAnsi="Arial" w:cs="Arial"/>
          <w:lang w:val="en-US"/>
        </w:rPr>
        <w:t>lo</w:t>
      </w:r>
    </w:p>
    <w:p w14:paraId="7932DF1D" w14:textId="77777777" w:rsidR="003B05BB" w:rsidRDefault="003B05BB" w:rsidP="00DA55C9">
      <w:pPr>
        <w:spacing w:line="480" w:lineRule="auto"/>
        <w:rPr>
          <w:rFonts w:ascii="Arial" w:hAnsi="Arial" w:cs="Arial"/>
          <w:lang w:val="en-US"/>
        </w:rPr>
      </w:pPr>
    </w:p>
    <w:p w14:paraId="7325CB73" w14:textId="790CC01C" w:rsidR="00FE24D4" w:rsidRPr="00762A88" w:rsidRDefault="00FE24D4" w:rsidP="00DA55C9">
      <w:pPr>
        <w:spacing w:line="480" w:lineRule="auto"/>
        <w:rPr>
          <w:rFonts w:ascii="Arial" w:hAnsi="Arial" w:cs="Arial"/>
          <w:lang w:val="en-US"/>
        </w:rPr>
      </w:pPr>
      <w:r w:rsidRPr="00762A88">
        <w:rPr>
          <w:rFonts w:ascii="Arial" w:hAnsi="Arial" w:cs="Arial"/>
          <w:lang w:val="en-US"/>
        </w:rPr>
        <w:t>Evaluate the tools and approaches in terms of fitness for purpose, correctness/reliability, and usability for enterprise teams, cost/operational overhead, integration with Continuous integration/ Continuous development (CI/CD), vendor lock in and observability in NZ Post’s BIS.</w:t>
      </w:r>
    </w:p>
    <w:p w14:paraId="0BFADD9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 xml:space="preserve">Look at toolset recommendations, mapped to NZ Post use-cases; </w:t>
      </w:r>
    </w:p>
    <w:p w14:paraId="321473A1"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management &amp; QA governance: Jira + Xray / TestRail (enterprise test planning, traceability).</w:t>
      </w:r>
    </w:p>
    <w:p w14:paraId="55A4A5AE"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supports traceability for regulatory audit + large regression suites.</w:t>
      </w:r>
    </w:p>
    <w:p w14:paraId="2874D4E9"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Automation (UI / E2E): Playwright / Cypress for web portals; Appium for mobile.</w:t>
      </w:r>
    </w:p>
    <w:p w14:paraId="2518BA2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stability, parallelization, cross-browser/mobile support.</w:t>
      </w:r>
    </w:p>
    <w:p w14:paraId="40AB076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API / Contract testing: Pact / Postman &amp; Newman or ReadyAPI for contract/consumer-driven testing.</w:t>
      </w:r>
    </w:p>
    <w:p w14:paraId="7C48811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NZ Post’s API marketplace and partner integrations need contract stability.</w:t>
      </w:r>
    </w:p>
    <w:p w14:paraId="048E2F4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Performance &amp; Load: Gatling / JMeter; cloud load test (k6, cloud providers).</w:t>
      </w:r>
    </w:p>
    <w:p w14:paraId="5DB9308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peak-season throughput testing for parcel systems.</w:t>
      </w:r>
    </w:p>
    <w:p w14:paraId="2487948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Security: OWASP ZAP, Burp Suite, SAST (SonarQube), Dependency scanning (Snyk).</w:t>
      </w:r>
    </w:p>
    <w:p w14:paraId="005A68C0"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protect PII and transaction flows.</w:t>
      </w:r>
    </w:p>
    <w:p w14:paraId="27712F78"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CI/CD &amp; Orchestration: GitHub Actions / Jenkins + Kubernetes deployment gates.</w:t>
      </w:r>
    </w:p>
    <w:p w14:paraId="3C36DE65"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Integration with microservices and automated gates.</w:t>
      </w:r>
    </w:p>
    <w:p w14:paraId="1FFE9BB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data &amp; environment management: Test data fabric, data masking tools (Delphix or open-source alternatives), synthetic data pipelines.</w:t>
      </w:r>
    </w:p>
    <w:p w14:paraId="05A878DA"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Monitoring &amp; Observability: ELK/EFK, Prometheus + Grafana, SLO/SLI tooling (e.g., Keptn or SLO frameworks).</w:t>
      </w:r>
    </w:p>
    <w:p w14:paraId="2B30ED9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tooling: Model registries (MLflow), fairness &amp; explainability toolkits (AIF360, SHAP), monitoring for model drift.</w:t>
      </w:r>
    </w:p>
    <w:p w14:paraId="275BABD5" w14:textId="0F1825CF" w:rsidR="007F4A81" w:rsidRPr="00762A88" w:rsidRDefault="00FE24D4" w:rsidP="00DA55C9">
      <w:pPr>
        <w:spacing w:line="480" w:lineRule="auto"/>
        <w:rPr>
          <w:rFonts w:ascii="Arial" w:hAnsi="Arial" w:cs="Arial"/>
          <w:lang w:val="en-US"/>
        </w:rPr>
      </w:pPr>
      <w:r w:rsidRPr="00762A88">
        <w:rPr>
          <w:rFonts w:ascii="Arial" w:hAnsi="Arial" w:cs="Arial"/>
          <w:lang w:val="en-US"/>
        </w:rPr>
        <w:t>Produce a table or bullets comparing candidate tools with NZ Post constraints (vendor cost, cloud strategy, team skillset).</w:t>
      </w:r>
    </w:p>
    <w:p w14:paraId="4521F8D2" w14:textId="4CCDA545"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lastRenderedPageBreak/>
        <w:t>5</w:t>
      </w:r>
      <w:r w:rsidR="007F4A81" w:rsidRPr="00762A88">
        <w:rPr>
          <w:rFonts w:ascii="Arial" w:hAnsi="Arial" w:cs="Arial"/>
          <w:b/>
          <w:bCs/>
          <w:lang w:val="en-US"/>
        </w:rPr>
        <w:t>. Risk Analysis and Recommendation</w:t>
      </w:r>
      <w:r w:rsidR="00215B52">
        <w:rPr>
          <w:rFonts w:ascii="Arial" w:hAnsi="Arial" w:cs="Arial"/>
          <w:b/>
          <w:bCs/>
          <w:lang w:val="en-US"/>
        </w:rPr>
        <w:t xml:space="preserve"> (</w:t>
      </w:r>
      <w:r w:rsidR="000477DE">
        <w:rPr>
          <w:rFonts w:ascii="Arial" w:hAnsi="Arial" w:cs="Arial"/>
          <w:b/>
          <w:bCs/>
          <w:lang w:val="en-US"/>
        </w:rPr>
        <w:t>6</w:t>
      </w:r>
      <w:r w:rsidR="00215B52">
        <w:rPr>
          <w:rFonts w:ascii="Arial" w:hAnsi="Arial" w:cs="Arial"/>
          <w:b/>
          <w:bCs/>
          <w:lang w:val="en-US"/>
        </w:rPr>
        <w:t>00 words)</w:t>
      </w:r>
    </w:p>
    <w:p w14:paraId="76DB4CEF"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Prioritise product and system risk analysis, with evidence-based mitigations that embed continuous improvement. Present the top risks with their likelihood and impact. Use a risk Matrix. Analyse those identified, for context, consequence, evidence and recommendation.</w:t>
      </w:r>
    </w:p>
    <w:p w14:paraId="56236D0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Peak-season system overload / downtime: mitigation: scalable autoscaling, performance testing, runbook &amp; failover.</w:t>
      </w:r>
    </w:p>
    <w:p w14:paraId="281A774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Incorrect tracking data / data integrity: mitigation: contract tests, end-to-end reconciliation, stronger input validation.</w:t>
      </w:r>
    </w:p>
    <w:p w14:paraId="1A5F323E"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Partner API breakages: mitigation: consumer-driven contract testing, Application Programming Interface (API) gateway &amp; rate limiting, versioning policy.</w:t>
      </w:r>
    </w:p>
    <w:p w14:paraId="51173EA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security / breach of PII: mitigation: data classification, Static and Dynamic application security testing (SAST/DAST), encryption at rest/in transit, incident response.</w:t>
      </w:r>
    </w:p>
    <w:p w14:paraId="73013B50" w14:textId="03CA729F" w:rsidR="007F4A81" w:rsidRPr="00762A88" w:rsidRDefault="00AA115D" w:rsidP="00DA55C9">
      <w:pPr>
        <w:spacing w:line="480" w:lineRule="auto"/>
        <w:rPr>
          <w:rFonts w:ascii="Arial" w:hAnsi="Arial" w:cs="Arial"/>
          <w:lang w:val="en-US"/>
        </w:rPr>
      </w:pPr>
      <w:r w:rsidRPr="00762A88">
        <w:rPr>
          <w:rFonts w:ascii="Arial" w:hAnsi="Arial" w:cs="Arial"/>
          <w:lang w:val="en-US"/>
        </w:rPr>
        <w:t>Recommend a way of to embed continuous improvement. A closed loop for instance, such as KPI measurement - retrospective - QA backlog - automation coverage increases and root cause elimination.</w:t>
      </w:r>
    </w:p>
    <w:p w14:paraId="70948AC8" w14:textId="6CFA1B66"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6</w:t>
      </w:r>
      <w:r w:rsidR="007F4A81" w:rsidRPr="00762A88">
        <w:rPr>
          <w:rFonts w:ascii="Arial" w:hAnsi="Arial" w:cs="Arial"/>
          <w:b/>
          <w:bCs/>
          <w:lang w:val="en-US"/>
        </w:rPr>
        <w:t xml:space="preserve">. Future Trends and Strategic Integration </w:t>
      </w:r>
      <w:r w:rsidR="00EB5F89">
        <w:rPr>
          <w:rFonts w:ascii="Arial" w:hAnsi="Arial" w:cs="Arial"/>
          <w:b/>
          <w:bCs/>
          <w:lang w:val="en-US"/>
        </w:rPr>
        <w:t>(</w:t>
      </w:r>
      <w:r w:rsidR="00C249E8">
        <w:rPr>
          <w:rFonts w:ascii="Arial" w:hAnsi="Arial" w:cs="Arial"/>
          <w:b/>
          <w:bCs/>
          <w:lang w:val="en-US"/>
        </w:rPr>
        <w:t>6</w:t>
      </w:r>
      <w:r w:rsidR="00EB5F89">
        <w:rPr>
          <w:rFonts w:ascii="Arial" w:hAnsi="Arial" w:cs="Arial"/>
          <w:b/>
          <w:bCs/>
          <w:lang w:val="en-US"/>
        </w:rPr>
        <w:t>00 words)</w:t>
      </w:r>
    </w:p>
    <w:p w14:paraId="0D82668E" w14:textId="77777777" w:rsidR="00AA115D" w:rsidRPr="00762A88" w:rsidRDefault="00AA115D" w:rsidP="00DA55C9">
      <w:pPr>
        <w:spacing w:line="480" w:lineRule="auto"/>
        <w:rPr>
          <w:rFonts w:ascii="Arial" w:hAnsi="Arial" w:cs="Arial"/>
          <w:lang w:val="en-US"/>
        </w:rPr>
      </w:pPr>
    </w:p>
    <w:p w14:paraId="577664A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 this section look at forward readiness, such as AI assurance, data governance, ethics, automation, business–IT collaboration.</w:t>
      </w:r>
    </w:p>
    <w:p w14:paraId="7400A92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AI Assurance &amp; Model Governance: How to assure Machine Learning pipelines (data lineage, training validation, model explainability, monitoring for drift). Introduce model risk classification.</w:t>
      </w:r>
    </w:p>
    <w:p w14:paraId="5865579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Governance &amp; Privacy: Metadata management, data lineage, consent and PII masking, GDPR/NZ privacy mapping.</w:t>
      </w:r>
    </w:p>
    <w:p w14:paraId="42DD23D3"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&amp; Observability: Self-healing tests, model-assisted testing, synthetic data for edge cases.</w:t>
      </w:r>
    </w:p>
    <w:p w14:paraId="38B440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Ethical QA &amp; Collaboration: Algorithmic fairness governance, a cross-functional QA Council, RACI for AI decisions.</w:t>
      </w:r>
    </w:p>
    <w:p w14:paraId="7626C89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Include an Implementation Roadmap &amp; Resource Plan</w:t>
      </w:r>
    </w:p>
    <w:p w14:paraId="48E9698C"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0–6 months: QA COE launch, test automation baseline (UI/API), CI/CD test gates, critical performance tests.</w:t>
      </w:r>
    </w:p>
    <w:p w14:paraId="3D82F7E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6–18 months: maturity improvements, AI assurance pilot, data governance rollout, test data platform.</w:t>
      </w:r>
    </w:p>
    <w:p w14:paraId="646D1C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18–36</w:t>
      </w:r>
      <w:r w:rsidRPr="00762A88">
        <w:rPr>
          <w:rFonts w:ascii="Arial" w:hAnsi="Arial" w:cs="Arial"/>
          <w:lang w:val="en-US"/>
        </w:rPr>
        <w:tab/>
        <w:t xml:space="preserve"> months: TMMi level upgrade, full model governance, enterprise observability.</w:t>
      </w:r>
    </w:p>
    <w:p w14:paraId="48F6D40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As well as a brief resource plan: roles required (QA COE lead, SDET, performance engineer, security engineer, data steward).</w:t>
      </w:r>
    </w:p>
    <w:p w14:paraId="40316F3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How will you measure your plan - Metrics &amp; Acceptance Criteria</w:t>
      </w:r>
    </w:p>
    <w:p w14:paraId="4384FDF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Test coverage (unit/component), automation rate (% of regression automated), mean time to detect (MTTD), mean time to repair (MTTR), escaped defects (prod defects / KLOC), customer-facing SLA compliance, model drift rate, audit pass rate.</w:t>
      </w:r>
    </w:p>
    <w:p w14:paraId="7F95573C" w14:textId="60104DF7" w:rsidR="00AA115D" w:rsidRDefault="00AA115D" w:rsidP="00DA55C9">
      <w:pPr>
        <w:spacing w:line="480" w:lineRule="auto"/>
        <w:rPr>
          <w:rFonts w:ascii="Arial" w:hAnsi="Arial" w:cs="Arial"/>
          <w:lang w:val="en-US"/>
        </w:rPr>
      </w:pPr>
      <w:r w:rsidRPr="00762A88">
        <w:rPr>
          <w:rFonts w:ascii="Arial" w:hAnsi="Arial" w:cs="Arial"/>
          <w:lang w:val="en-US"/>
        </w:rPr>
        <w:lastRenderedPageBreak/>
        <w:t>Include a conclusion - summarise why the recommended hybrid model, toolset, and roadmap will improve NZ Post BIS quality and future-proof against AI/data governance challenges.</w:t>
      </w:r>
    </w:p>
    <w:p w14:paraId="402E0B7B" w14:textId="77777777" w:rsidR="00762A88" w:rsidRDefault="00762A88" w:rsidP="00DA55C9">
      <w:pPr>
        <w:spacing w:line="480" w:lineRule="auto"/>
        <w:rPr>
          <w:rFonts w:ascii="Arial" w:hAnsi="Arial" w:cs="Arial"/>
          <w:lang w:val="en-US"/>
        </w:rPr>
      </w:pPr>
    </w:p>
    <w:p w14:paraId="308ADBD4" w14:textId="3D255328"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7. Conclusion</w:t>
      </w:r>
      <w:r w:rsidR="0013057B">
        <w:rPr>
          <w:rFonts w:ascii="Arial" w:hAnsi="Arial" w:cs="Arial"/>
          <w:b/>
          <w:bCs/>
          <w:lang w:val="en-US"/>
        </w:rPr>
        <w:t xml:space="preserve"> (200 words)</w:t>
      </w:r>
    </w:p>
    <w:p w14:paraId="0C3CAB94" w14:textId="5A8C1685" w:rsidR="00762A88" w:rsidRDefault="00F35730" w:rsidP="00DA55C9">
      <w:pPr>
        <w:spacing w:line="480" w:lineRule="auto"/>
        <w:rPr>
          <w:rFonts w:ascii="Arial" w:hAnsi="Arial" w:cs="Arial"/>
          <w:lang w:val="en-US"/>
        </w:rPr>
      </w:pPr>
      <w:r>
        <w:rPr>
          <w:rFonts w:ascii="Arial" w:hAnsi="Arial" w:cs="Arial"/>
          <w:lang w:val="en-US"/>
        </w:rPr>
        <w:tab/>
        <w:t>Lorem ipsum</w:t>
      </w:r>
    </w:p>
    <w:p w14:paraId="23A2B8D4" w14:textId="77777777" w:rsidR="00F60C14" w:rsidRDefault="00F60C14" w:rsidP="00DA55C9">
      <w:pPr>
        <w:spacing w:line="480" w:lineRule="auto"/>
        <w:rPr>
          <w:rFonts w:ascii="Arial" w:hAnsi="Arial" w:cs="Arial"/>
          <w:lang w:val="en-US"/>
        </w:rPr>
      </w:pPr>
    </w:p>
    <w:p w14:paraId="7CC5347F" w14:textId="77777777" w:rsidR="00F60C14" w:rsidRDefault="00F60C14" w:rsidP="00DA55C9">
      <w:pPr>
        <w:spacing w:line="480" w:lineRule="auto"/>
        <w:rPr>
          <w:rFonts w:ascii="Arial" w:hAnsi="Arial" w:cs="Arial"/>
          <w:lang w:val="en-US"/>
        </w:rPr>
      </w:pPr>
    </w:p>
    <w:p w14:paraId="111DF7AB" w14:textId="77777777" w:rsidR="00F60C14" w:rsidRDefault="00F60C14" w:rsidP="00DA55C9">
      <w:pPr>
        <w:spacing w:line="480" w:lineRule="auto"/>
        <w:rPr>
          <w:rFonts w:ascii="Arial" w:hAnsi="Arial" w:cs="Arial"/>
          <w:lang w:val="en-US"/>
        </w:rPr>
      </w:pPr>
    </w:p>
    <w:p w14:paraId="1F95F5DC" w14:textId="0BCBA45E"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8. References</w:t>
      </w:r>
    </w:p>
    <w:p w14:paraId="1C7A2129" w14:textId="77777777" w:rsidR="0057539F" w:rsidRPr="0057539F" w:rsidRDefault="00024F14" w:rsidP="0057539F">
      <w:pPr>
        <w:pStyle w:val="Bibliography"/>
        <w:rPr>
          <w:rFonts w:ascii="Arial" w:hAnsi="Arial" w:cs="Arial"/>
        </w:rPr>
      </w:pPr>
      <w:r>
        <w:rPr>
          <w:rFonts w:ascii="Arial" w:hAnsi="Arial" w:cs="Arial"/>
          <w:lang w:val="en-US"/>
        </w:rPr>
        <w:fldChar w:fldCharType="begin"/>
      </w:r>
      <w:r>
        <w:rPr>
          <w:rFonts w:ascii="Arial" w:hAnsi="Arial" w:cs="Arial"/>
          <w:lang w:val="en-US"/>
        </w:rPr>
        <w:instrText xml:space="preserve"> ADDIN ZOTERO_BIBL {"uncited":[],"omitted":[],"custom":[]} CSL_BIBLIOGRAPHY </w:instrText>
      </w:r>
      <w:r>
        <w:rPr>
          <w:rFonts w:ascii="Arial" w:hAnsi="Arial" w:cs="Arial"/>
          <w:lang w:val="en-US"/>
        </w:rPr>
        <w:fldChar w:fldCharType="separate"/>
      </w:r>
      <w:r w:rsidR="0057539F" w:rsidRPr="0057539F">
        <w:rPr>
          <w:rFonts w:ascii="Arial" w:hAnsi="Arial" w:cs="Arial"/>
        </w:rPr>
        <w:t xml:space="preserve">1Cover NZ. (n.d.). </w:t>
      </w:r>
      <w:r w:rsidR="0057539F" w:rsidRPr="0057539F">
        <w:rPr>
          <w:rFonts w:ascii="Arial" w:hAnsi="Arial" w:cs="Arial"/>
          <w:i/>
          <w:iCs/>
        </w:rPr>
        <w:t>About 1Cover Travel Insurance | 1Cover.co.nz</w:t>
      </w:r>
      <w:r w:rsidR="0057539F" w:rsidRPr="0057539F">
        <w:rPr>
          <w:rFonts w:ascii="Arial" w:hAnsi="Arial" w:cs="Arial"/>
        </w:rPr>
        <w:t>. Retrieved November 23, 2025, from https://www.1cover.co.nz/about/</w:t>
      </w:r>
    </w:p>
    <w:p w14:paraId="1456F4D8" w14:textId="77777777" w:rsidR="0057539F" w:rsidRPr="0057539F" w:rsidRDefault="0057539F" w:rsidP="0057539F">
      <w:pPr>
        <w:pStyle w:val="Bibliography"/>
        <w:rPr>
          <w:rFonts w:ascii="Arial" w:hAnsi="Arial" w:cs="Arial"/>
        </w:rPr>
      </w:pPr>
      <w:r w:rsidRPr="0057539F">
        <w:rPr>
          <w:rFonts w:ascii="Arial" w:hAnsi="Arial" w:cs="Arial"/>
        </w:rPr>
        <w:t xml:space="preserve">Pareek, C. S. (2024). </w:t>
      </w:r>
      <w:r w:rsidRPr="0057539F">
        <w:rPr>
          <w:rFonts w:ascii="Arial" w:hAnsi="Arial" w:cs="Arial"/>
          <w:i/>
          <w:iCs/>
        </w:rPr>
        <w:t>Accelerating Time-to-Market in Life Insurance: The Power of AI-Driven Test Automation Frameworks</w:t>
      </w:r>
      <w:r w:rsidRPr="0057539F">
        <w:rPr>
          <w:rFonts w:ascii="Arial" w:hAnsi="Arial" w:cs="Arial"/>
        </w:rPr>
        <w:t>. [Publisher Name]  (Insert the publisher name here). [URL or database]  (Insert the URL if applicable)</w:t>
      </w:r>
    </w:p>
    <w:p w14:paraId="66FBB8DD" w14:textId="77777777" w:rsidR="0057539F" w:rsidRPr="0057539F" w:rsidRDefault="0057539F" w:rsidP="0057539F">
      <w:pPr>
        <w:pStyle w:val="Bibliography"/>
        <w:rPr>
          <w:rFonts w:ascii="Arial" w:hAnsi="Arial" w:cs="Arial"/>
        </w:rPr>
      </w:pPr>
      <w:r w:rsidRPr="0057539F">
        <w:rPr>
          <w:rFonts w:ascii="Arial" w:hAnsi="Arial" w:cs="Arial"/>
        </w:rPr>
        <w:t xml:space="preserve">Ziemba, E. (2017). </w:t>
      </w:r>
      <w:r w:rsidRPr="0057539F">
        <w:rPr>
          <w:rFonts w:ascii="Arial" w:hAnsi="Arial" w:cs="Arial"/>
          <w:i/>
          <w:iCs/>
        </w:rPr>
        <w:t>Information Technology for Management: Ongoing Research and Development</w:t>
      </w:r>
      <w:r w:rsidRPr="0057539F">
        <w:rPr>
          <w:rFonts w:ascii="Arial" w:hAnsi="Arial" w:cs="Arial"/>
        </w:rPr>
        <w:t>. [Publisher Name]  (Insert the publisher name here). [URL or database]  (Insert the URL if applicable)</w:t>
      </w:r>
    </w:p>
    <w:p w14:paraId="4328AFB8" w14:textId="4E53113C" w:rsidR="00F35730" w:rsidRPr="00762A88" w:rsidRDefault="00024F14" w:rsidP="00DA55C9">
      <w:pPr>
        <w:spacing w:line="480" w:lineRule="auto"/>
        <w:rPr>
          <w:rFonts w:ascii="Arial" w:hAnsi="Arial" w:cs="Arial"/>
          <w:lang w:val="en-US"/>
        </w:rPr>
      </w:pPr>
      <w:r>
        <w:rPr>
          <w:rFonts w:ascii="Arial" w:hAnsi="Arial" w:cs="Arial"/>
          <w:lang w:val="en-US"/>
        </w:rPr>
        <w:fldChar w:fldCharType="end"/>
      </w:r>
    </w:p>
    <w:sectPr w:rsidR="00F35730" w:rsidRPr="00762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7377"/>
    <w:rsid w:val="00024F14"/>
    <w:rsid w:val="000403AD"/>
    <w:rsid w:val="00043097"/>
    <w:rsid w:val="000477DE"/>
    <w:rsid w:val="000552DD"/>
    <w:rsid w:val="0005725B"/>
    <w:rsid w:val="0006387F"/>
    <w:rsid w:val="001236C3"/>
    <w:rsid w:val="001261B9"/>
    <w:rsid w:val="0013057B"/>
    <w:rsid w:val="00131F19"/>
    <w:rsid w:val="00141F73"/>
    <w:rsid w:val="00151D54"/>
    <w:rsid w:val="0018546D"/>
    <w:rsid w:val="001977CE"/>
    <w:rsid w:val="001A0625"/>
    <w:rsid w:val="001C5438"/>
    <w:rsid w:val="001F1FE4"/>
    <w:rsid w:val="00215B52"/>
    <w:rsid w:val="0023268D"/>
    <w:rsid w:val="00241215"/>
    <w:rsid w:val="0028382D"/>
    <w:rsid w:val="002A6B15"/>
    <w:rsid w:val="002F5C7F"/>
    <w:rsid w:val="0030160D"/>
    <w:rsid w:val="00340647"/>
    <w:rsid w:val="003725E7"/>
    <w:rsid w:val="003B05BB"/>
    <w:rsid w:val="004B7B42"/>
    <w:rsid w:val="00521629"/>
    <w:rsid w:val="00562B65"/>
    <w:rsid w:val="0057539F"/>
    <w:rsid w:val="005D7E86"/>
    <w:rsid w:val="005F7450"/>
    <w:rsid w:val="00667425"/>
    <w:rsid w:val="00690357"/>
    <w:rsid w:val="00734389"/>
    <w:rsid w:val="00747970"/>
    <w:rsid w:val="007545FF"/>
    <w:rsid w:val="00762A88"/>
    <w:rsid w:val="00782A4D"/>
    <w:rsid w:val="0079249B"/>
    <w:rsid w:val="007B56AA"/>
    <w:rsid w:val="007F4A81"/>
    <w:rsid w:val="00833438"/>
    <w:rsid w:val="00876C80"/>
    <w:rsid w:val="00876F8D"/>
    <w:rsid w:val="00891506"/>
    <w:rsid w:val="008C5E9A"/>
    <w:rsid w:val="00912BA0"/>
    <w:rsid w:val="00950678"/>
    <w:rsid w:val="00991918"/>
    <w:rsid w:val="009F7DB7"/>
    <w:rsid w:val="00A17687"/>
    <w:rsid w:val="00A5532D"/>
    <w:rsid w:val="00AA115D"/>
    <w:rsid w:val="00AD4A37"/>
    <w:rsid w:val="00AE53B3"/>
    <w:rsid w:val="00B211DA"/>
    <w:rsid w:val="00B223EB"/>
    <w:rsid w:val="00B35839"/>
    <w:rsid w:val="00B956F4"/>
    <w:rsid w:val="00BC57AC"/>
    <w:rsid w:val="00C11CF4"/>
    <w:rsid w:val="00C22A33"/>
    <w:rsid w:val="00C249E8"/>
    <w:rsid w:val="00C37C39"/>
    <w:rsid w:val="00C40B3E"/>
    <w:rsid w:val="00C41C70"/>
    <w:rsid w:val="00C61A64"/>
    <w:rsid w:val="00C7712E"/>
    <w:rsid w:val="00C854C7"/>
    <w:rsid w:val="00C86B50"/>
    <w:rsid w:val="00CA3844"/>
    <w:rsid w:val="00CD2898"/>
    <w:rsid w:val="00CF66F4"/>
    <w:rsid w:val="00D0403E"/>
    <w:rsid w:val="00D0776E"/>
    <w:rsid w:val="00D5089C"/>
    <w:rsid w:val="00D529FB"/>
    <w:rsid w:val="00DA55C9"/>
    <w:rsid w:val="00DE6214"/>
    <w:rsid w:val="00DF6E8F"/>
    <w:rsid w:val="00E1259D"/>
    <w:rsid w:val="00E2166B"/>
    <w:rsid w:val="00E245AB"/>
    <w:rsid w:val="00E9324E"/>
    <w:rsid w:val="00EB5F89"/>
    <w:rsid w:val="00EC79EB"/>
    <w:rsid w:val="00EE13FF"/>
    <w:rsid w:val="00F113DF"/>
    <w:rsid w:val="00F209F3"/>
    <w:rsid w:val="00F229FA"/>
    <w:rsid w:val="00F35730"/>
    <w:rsid w:val="00F60C14"/>
    <w:rsid w:val="00F738DB"/>
    <w:rsid w:val="00F80F00"/>
    <w:rsid w:val="00FB751B"/>
    <w:rsid w:val="00FD75E1"/>
    <w:rsid w:val="00FE24D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D0090233-EBF9-4402-9078-AA87F296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984</TotalTime>
  <Pages>15</Pages>
  <Words>2796</Words>
  <Characters>18214</Characters>
  <Application>Microsoft Office Word</Application>
  <DocSecurity>0</DocSecurity>
  <Lines>331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1</cp:revision>
  <dcterms:created xsi:type="dcterms:W3CDTF">2025-11-14T00:47:00Z</dcterms:created>
  <dcterms:modified xsi:type="dcterms:W3CDTF">2025-11-29T20:43:00Z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id="KENNB5cv"/&gt;&lt;style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