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XSpec="center" w:tblpY="1"/>
        <w:tblOverlap w:val="never"/>
        <w:tblW w:w="14029" w:type="dxa"/>
        <w:jc w:val="center"/>
        <w:tblLook w:val="04A0" w:firstRow="1" w:lastRow="0" w:firstColumn="1" w:lastColumn="0" w:noHBand="0" w:noVBand="1"/>
      </w:tblPr>
      <w:tblGrid>
        <w:gridCol w:w="2332"/>
        <w:gridCol w:w="2299"/>
        <w:gridCol w:w="2590"/>
        <w:gridCol w:w="6808"/>
      </w:tblGrid>
      <w:tr w:rsidR="00E7532C" w14:paraId="301A9E5E" w14:textId="77777777" w:rsidTr="6069F33B">
        <w:trPr>
          <w:jc w:val="center"/>
        </w:trPr>
        <w:tc>
          <w:tcPr>
            <w:tcW w:w="2336" w:type="dxa"/>
            <w:shd w:val="clear" w:color="auto" w:fill="808080" w:themeFill="background1" w:themeFillShade="80"/>
          </w:tcPr>
          <w:p w14:paraId="45129F1E" w14:textId="77777777" w:rsidR="00E7532C" w:rsidRPr="007454BB" w:rsidRDefault="00E7532C" w:rsidP="00CB6093">
            <w:pPr>
              <w:jc w:val="center"/>
              <w:rPr>
                <w:color w:val="FFFFFF" w:themeColor="background1"/>
                <w:sz w:val="32"/>
                <w:szCs w:val="32"/>
                <w:lang w:val="en-US"/>
              </w:rPr>
            </w:pPr>
            <w:r w:rsidRPr="007454BB">
              <w:rPr>
                <w:color w:val="FFFFFF" w:themeColor="background1"/>
                <w:sz w:val="32"/>
                <w:szCs w:val="32"/>
                <w:lang w:val="en-US"/>
              </w:rPr>
              <w:t>Section</w:t>
            </w:r>
          </w:p>
        </w:tc>
        <w:tc>
          <w:tcPr>
            <w:tcW w:w="2336" w:type="dxa"/>
            <w:shd w:val="clear" w:color="auto" w:fill="808080" w:themeFill="background1" w:themeFillShade="80"/>
          </w:tcPr>
          <w:p w14:paraId="766F1BCF" w14:textId="77777777" w:rsidR="00E7532C" w:rsidRPr="007454BB" w:rsidRDefault="00E7532C" w:rsidP="00CB6093">
            <w:pPr>
              <w:jc w:val="center"/>
              <w:rPr>
                <w:color w:val="FFFFFF" w:themeColor="background1"/>
                <w:sz w:val="32"/>
                <w:szCs w:val="32"/>
                <w:lang w:val="en-US"/>
              </w:rPr>
            </w:pPr>
            <w:r w:rsidRPr="007454BB">
              <w:rPr>
                <w:color w:val="FFFFFF" w:themeColor="background1"/>
                <w:sz w:val="32"/>
                <w:szCs w:val="32"/>
                <w:lang w:val="en-US"/>
              </w:rPr>
              <w:t>Element</w:t>
            </w:r>
          </w:p>
        </w:tc>
        <w:tc>
          <w:tcPr>
            <w:tcW w:w="2354" w:type="dxa"/>
            <w:shd w:val="clear" w:color="auto" w:fill="808080" w:themeFill="background1" w:themeFillShade="80"/>
          </w:tcPr>
          <w:p w14:paraId="1F8AD334" w14:textId="55D88FC7" w:rsidR="00E7532C" w:rsidRPr="007454BB" w:rsidRDefault="007702C7" w:rsidP="00CB6093">
            <w:pPr>
              <w:jc w:val="center"/>
              <w:rPr>
                <w:color w:val="FFFFFF" w:themeColor="background1"/>
                <w:sz w:val="32"/>
                <w:szCs w:val="32"/>
                <w:lang w:val="en-US"/>
              </w:rPr>
            </w:pPr>
            <w:r w:rsidRPr="00F26648">
              <w:rPr>
                <w:color w:val="FFFF00"/>
                <w:sz w:val="32"/>
                <w:szCs w:val="32"/>
                <w:lang w:val="en-US"/>
              </w:rPr>
              <w:t>*</w:t>
            </w:r>
            <w:r w:rsidR="00E7532C" w:rsidRPr="007454BB">
              <w:rPr>
                <w:color w:val="FFFFFF" w:themeColor="background1"/>
                <w:sz w:val="32"/>
                <w:szCs w:val="32"/>
                <w:lang w:val="en-US"/>
              </w:rPr>
              <w:t>Aspect</w:t>
            </w:r>
          </w:p>
        </w:tc>
        <w:tc>
          <w:tcPr>
            <w:tcW w:w="7003" w:type="dxa"/>
            <w:shd w:val="clear" w:color="auto" w:fill="808080" w:themeFill="background1" w:themeFillShade="80"/>
          </w:tcPr>
          <w:p w14:paraId="2BD5473C" w14:textId="3062C749" w:rsidR="00E7532C" w:rsidRPr="007454BB" w:rsidRDefault="007702C7" w:rsidP="00CB6093">
            <w:pPr>
              <w:jc w:val="center"/>
              <w:rPr>
                <w:color w:val="FFFFFF" w:themeColor="background1"/>
                <w:sz w:val="32"/>
                <w:szCs w:val="32"/>
                <w:lang w:val="en-US"/>
              </w:rPr>
            </w:pPr>
            <w:r w:rsidRPr="00F26648">
              <w:rPr>
                <w:color w:val="FFFF00"/>
                <w:sz w:val="32"/>
                <w:szCs w:val="32"/>
                <w:lang w:val="en-US"/>
              </w:rPr>
              <w:t>*</w:t>
            </w:r>
            <w:r w:rsidR="00E7532C" w:rsidRPr="007454BB">
              <w:rPr>
                <w:color w:val="FFFFFF" w:themeColor="background1"/>
                <w:sz w:val="32"/>
                <w:szCs w:val="32"/>
                <w:lang w:val="en-US"/>
              </w:rPr>
              <w:t>Example</w:t>
            </w:r>
            <w:r w:rsidR="00F26648">
              <w:rPr>
                <w:color w:val="FFFFFF" w:themeColor="background1"/>
                <w:sz w:val="32"/>
                <w:szCs w:val="32"/>
                <w:lang w:val="en-US"/>
              </w:rPr>
              <w:t>/Explanation</w:t>
            </w:r>
            <w:r w:rsidR="00E7532C" w:rsidRPr="007454BB">
              <w:rPr>
                <w:color w:val="FFFFFF" w:themeColor="background1"/>
                <w:sz w:val="32"/>
                <w:szCs w:val="32"/>
                <w:lang w:val="en-US"/>
              </w:rPr>
              <w:t xml:space="preserve"> </w:t>
            </w:r>
            <w:r w:rsidR="00F26648">
              <w:rPr>
                <w:color w:val="FFFFFF" w:themeColor="background1"/>
                <w:sz w:val="32"/>
                <w:szCs w:val="32"/>
                <w:lang w:val="en-US"/>
              </w:rPr>
              <w:t xml:space="preserve">within the </w:t>
            </w:r>
            <w:r w:rsidR="00E7532C" w:rsidRPr="007454BB">
              <w:rPr>
                <w:color w:val="FFFFFF" w:themeColor="background1"/>
                <w:sz w:val="32"/>
                <w:szCs w:val="32"/>
                <w:lang w:val="en-US"/>
              </w:rPr>
              <w:t xml:space="preserve">KML </w:t>
            </w:r>
            <w:r w:rsidR="00F26648">
              <w:rPr>
                <w:color w:val="FFFFFF" w:themeColor="background1"/>
                <w:sz w:val="32"/>
                <w:szCs w:val="32"/>
                <w:lang w:val="en-US"/>
              </w:rPr>
              <w:t>context</w:t>
            </w:r>
          </w:p>
        </w:tc>
      </w:tr>
      <w:tr w:rsidR="00DC4A6D" w14:paraId="21B28FFC" w14:textId="77777777" w:rsidTr="6069F33B">
        <w:trPr>
          <w:trHeight w:val="1300"/>
          <w:jc w:val="center"/>
        </w:trPr>
        <w:tc>
          <w:tcPr>
            <w:tcW w:w="2336" w:type="dxa"/>
            <w:vMerge w:val="restart"/>
            <w:shd w:val="clear" w:color="auto" w:fill="808080" w:themeFill="background1" w:themeFillShade="80"/>
            <w:vAlign w:val="center"/>
          </w:tcPr>
          <w:p w14:paraId="083A4043" w14:textId="77777777" w:rsidR="00DC4A6D" w:rsidRPr="007454BB" w:rsidRDefault="00DC4A6D" w:rsidP="00CB6093">
            <w:pPr>
              <w:pStyle w:val="ListParagraph"/>
              <w:numPr>
                <w:ilvl w:val="0"/>
                <w:numId w:val="2"/>
              </w:numPr>
              <w:rPr>
                <w:color w:val="FFFFFF" w:themeColor="background1"/>
                <w:sz w:val="28"/>
                <w:szCs w:val="28"/>
                <w:lang w:val="en-US"/>
              </w:rPr>
            </w:pPr>
            <w:r w:rsidRPr="007454BB">
              <w:rPr>
                <w:color w:val="FFFFFF" w:themeColor="background1"/>
                <w:sz w:val="28"/>
                <w:szCs w:val="28"/>
                <w:lang w:val="en-US"/>
              </w:rPr>
              <w:t>Capabilities for Project Director (PD)</w:t>
            </w:r>
          </w:p>
        </w:tc>
        <w:tc>
          <w:tcPr>
            <w:tcW w:w="2336" w:type="dxa"/>
            <w:vAlign w:val="center"/>
          </w:tcPr>
          <w:p w14:paraId="7161D607" w14:textId="70B82919" w:rsidR="00DC4A6D" w:rsidRDefault="00DC4A6D" w:rsidP="005462EB">
            <w:pPr>
              <w:rPr>
                <w:lang w:val="en-US"/>
              </w:rPr>
            </w:pPr>
            <w:r w:rsidRPr="7CD6ECC3">
              <w:rPr>
                <w:lang w:val="en-US"/>
              </w:rPr>
              <w:t xml:space="preserve">Capability 1: </w:t>
            </w:r>
          </w:p>
          <w:p w14:paraId="1192B6BE" w14:textId="290A5B3B" w:rsidR="00DC4A6D" w:rsidRPr="00E7532C" w:rsidRDefault="004375FB" w:rsidP="7CD6ECC3">
            <w:pPr>
              <w:rPr>
                <w:rFonts w:ascii="Times New Roman" w:eastAsia="Times New Roman" w:hAnsi="Times New Roman" w:cs="Times New Roman"/>
                <w:lang w:val="en-US"/>
              </w:rPr>
            </w:pPr>
            <w:r>
              <w:rPr>
                <w:rFonts w:ascii="Times New Roman" w:eastAsia="Times New Roman" w:hAnsi="Times New Roman" w:cs="Times New Roman"/>
                <w:lang w:val="en-US"/>
              </w:rPr>
              <w:t>Collaboration</w:t>
            </w:r>
          </w:p>
        </w:tc>
        <w:tc>
          <w:tcPr>
            <w:tcW w:w="2354" w:type="dxa"/>
          </w:tcPr>
          <w:p w14:paraId="4479543D" w14:textId="17D0F6FA" w:rsidR="00DC4A6D" w:rsidRDefault="00A31218" w:rsidP="6069F33B">
            <w:pPr>
              <w:pStyle w:val="ListParagraph"/>
              <w:ind w:left="457"/>
              <w:rPr>
                <w:lang w:val="en-US"/>
              </w:rPr>
            </w:pPr>
            <w:r>
              <w:rPr>
                <w:lang w:val="en-US"/>
              </w:rPr>
              <w:t xml:space="preserve">Joint venture with </w:t>
            </w:r>
            <w:r w:rsidR="00955B52">
              <w:rPr>
                <w:lang w:val="en-US"/>
              </w:rPr>
              <w:t>other groups and institution</w:t>
            </w:r>
          </w:p>
          <w:p w14:paraId="2F23CB22" w14:textId="77777777" w:rsidR="005B68DE" w:rsidRDefault="005B68DE" w:rsidP="005B68DE">
            <w:pPr>
              <w:pStyle w:val="ListParagraph"/>
              <w:numPr>
                <w:ilvl w:val="0"/>
                <w:numId w:val="0"/>
              </w:numPr>
              <w:ind w:left="457"/>
              <w:rPr>
                <w:lang w:val="en-US"/>
              </w:rPr>
            </w:pPr>
          </w:p>
          <w:p w14:paraId="2990513D" w14:textId="05948E4D" w:rsidR="00DC4A6D" w:rsidRPr="002519D7" w:rsidRDefault="00A31218" w:rsidP="00A31218">
            <w:pPr>
              <w:pStyle w:val="ListParagraph"/>
              <w:ind w:left="457"/>
              <w:rPr>
                <w:lang w:val="en-US"/>
              </w:rPr>
            </w:pPr>
            <w:r>
              <w:rPr>
                <w:lang w:val="en-US"/>
              </w:rPr>
              <w:t xml:space="preserve">Group discussion with </w:t>
            </w:r>
            <w:r w:rsidR="00955B52">
              <w:rPr>
                <w:lang w:val="en-US"/>
              </w:rPr>
              <w:t>other groups and institution</w:t>
            </w:r>
          </w:p>
        </w:tc>
        <w:tc>
          <w:tcPr>
            <w:tcW w:w="7003" w:type="dxa"/>
          </w:tcPr>
          <w:p w14:paraId="2B4BCFE3" w14:textId="5AEFA840" w:rsidR="00961A42" w:rsidRPr="001E24A1" w:rsidRDefault="00532F35" w:rsidP="007E7DCB">
            <w:pPr>
              <w:pStyle w:val="ListParagraph"/>
              <w:numPr>
                <w:ilvl w:val="0"/>
                <w:numId w:val="18"/>
              </w:numPr>
              <w:rPr>
                <w:lang w:val="en-US"/>
              </w:rPr>
            </w:pPr>
            <w:r w:rsidRPr="00532F35">
              <w:t>The PD, in collaboration with geologists and other professionals, can implement this strategy through joint ventures with local Iwi and the Department of Conservatio</w:t>
            </w:r>
            <w:r w:rsidR="001E24A1">
              <w:t>n</w:t>
            </w:r>
            <w:r w:rsidRPr="00532F35">
              <w:t>, as they have local knowledge of the land and can potentially uncover more prospects</w:t>
            </w:r>
            <w:r w:rsidR="00870655">
              <w:t xml:space="preserve"> </w:t>
            </w:r>
            <w:r w:rsidR="00870655">
              <w:fldChar w:fldCharType="begin"/>
            </w:r>
            <w:r w:rsidR="00870655">
              <w:instrText xml:space="preserve"> ADDIN ZOTERO_ITEM CSL_CITATION {"citationID":"UJ8aFNWJ","properties":{"formattedCitation":"(Singer &amp; Kouda, 1999)","plainCitation":"(Singer &amp; Kouda, 1999)","noteIndex":0},"citationItems":[{"id":93,"uris":["http://zotero.org/users/local/Qseh2Ukg/items/IMMIDGYQ"],"itemData":{"id":93,"type":"article-journal","container-title":"Natural Resources Research","DOI":"10.1023/A:1021838618750","journalAbbreviation":"Natural Resources Research","title":"Examining Risk in Mineral Exploration","volume":"8","author":[{"family":"Singer","given":"Donald"},{"family":"Kouda","given":"Ryoichi"}],"issued":{"date-parts":[["1999",6,1]]}}}],"schema":"https://github.com/citation-style-language/schema/raw/master/csl-citation.json"} </w:instrText>
            </w:r>
            <w:r w:rsidR="00870655">
              <w:fldChar w:fldCharType="separate"/>
            </w:r>
            <w:r w:rsidR="001D0DB1">
              <w:rPr>
                <w:noProof/>
              </w:rPr>
              <w:t>(Singer &amp; Kouda, 1999)</w:t>
            </w:r>
            <w:r w:rsidR="00870655">
              <w:fldChar w:fldCharType="end"/>
            </w:r>
            <w:r w:rsidRPr="00532F35">
              <w:t xml:space="preserve">. </w:t>
            </w:r>
            <w:r w:rsidR="00E01EC4">
              <w:t xml:space="preserve"> </w:t>
            </w:r>
          </w:p>
          <w:p w14:paraId="61ED6510" w14:textId="77777777" w:rsidR="001E24A1" w:rsidRPr="00532F35" w:rsidRDefault="001E24A1" w:rsidP="001E24A1">
            <w:pPr>
              <w:pStyle w:val="ListParagraph"/>
              <w:numPr>
                <w:ilvl w:val="0"/>
                <w:numId w:val="0"/>
              </w:numPr>
              <w:ind w:left="373"/>
              <w:rPr>
                <w:lang w:val="en-US"/>
              </w:rPr>
            </w:pPr>
          </w:p>
          <w:p w14:paraId="24830BCE" w14:textId="09F57E2B" w:rsidR="009D399F" w:rsidRPr="006E6CB6" w:rsidRDefault="007509EF" w:rsidP="00876E62">
            <w:pPr>
              <w:pStyle w:val="ListParagraph"/>
              <w:numPr>
                <w:ilvl w:val="0"/>
                <w:numId w:val="18"/>
              </w:numPr>
              <w:rPr>
                <w:lang w:val="en-US"/>
              </w:rPr>
            </w:pPr>
            <w:r>
              <w:rPr>
                <w:rFonts w:ascii="Times New Roman" w:hAnsi="Times New Roman" w:cs="Times New Roman"/>
              </w:rPr>
              <w:fldChar w:fldCharType="begin"/>
            </w:r>
            <w:r>
              <w:rPr>
                <w:rFonts w:ascii="Times New Roman" w:hAnsi="Times New Roman" w:cs="Times New Roman"/>
              </w:rPr>
              <w:instrText xml:space="preserve"> ADDIN ZOTERO_ITEM CSL_CITATION {"citationID":"cXd3soX3","properties":{"formattedCitation":"(Peterson, 2020)","plainCitation":"(Peterson, 2020)","noteIndex":0},"citationItems":[{"id":50,"uris":["http://zotero.org/users/local/Qseh2Ukg/items/A9T5SXR8"],"itemData":{"id":50,"type":"webpage","abstract":"Do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agencies.","container-title":"planview","language":"en","title":"Managing Risks with ROAM in Agile","URL":"https://blog.planview.com/managing-risks-with-roam-in-agile/","author":[{"family":"Peterson","given":"Emily"}],"accessed":{"date-parts":[["2024",10,25]]},"issued":{"date-parts":[["2020",12,15]]}}}],"schema":"https://github.com/citation-style-language/schema/raw/master/csl-citation.json"} </w:instrText>
            </w:r>
            <w:r>
              <w:rPr>
                <w:rFonts w:ascii="Times New Roman" w:hAnsi="Times New Roman" w:cs="Times New Roman"/>
              </w:rPr>
              <w:fldChar w:fldCharType="separate"/>
            </w:r>
            <w:r w:rsidR="001D0DB1">
              <w:rPr>
                <w:rFonts w:ascii="Times New Roman" w:hAnsi="Times New Roman" w:cs="Times New Roman"/>
                <w:noProof/>
              </w:rPr>
              <w:t>(Peterson, 2020)</w:t>
            </w:r>
            <w:r>
              <w:rPr>
                <w:rFonts w:ascii="Times New Roman" w:hAnsi="Times New Roman" w:cs="Times New Roman"/>
              </w:rPr>
              <w:fldChar w:fldCharType="end"/>
            </w:r>
            <w:r w:rsidR="00E01EC4">
              <w:rPr>
                <w:rFonts w:ascii="Times New Roman" w:hAnsi="Times New Roman" w:cs="Times New Roman"/>
              </w:rPr>
              <w:t>.</w:t>
            </w:r>
            <w:r w:rsidR="00876E62" w:rsidRPr="00876E62">
              <w:rPr>
                <w:rFonts w:ascii="Times New Roman" w:hAnsi="Times New Roman" w:cs="Times New Roman"/>
              </w:rPr>
              <w:t xml:space="preserve">As for the PD, to make sure all stakeholders are present and all possible perspectives are considered, the PD, together with a team of geologists and other professionals, the local Iwi, and the </w:t>
            </w:r>
            <w:proofErr w:type="spellStart"/>
            <w:r w:rsidR="00876E62" w:rsidRPr="00876E62">
              <w:rPr>
                <w:rFonts w:ascii="Times New Roman" w:hAnsi="Times New Roman" w:cs="Times New Roman"/>
              </w:rPr>
              <w:t>DoC</w:t>
            </w:r>
            <w:proofErr w:type="spellEnd"/>
            <w:r w:rsidR="00876E62" w:rsidRPr="00876E62">
              <w:rPr>
                <w:rFonts w:ascii="Times New Roman" w:hAnsi="Times New Roman" w:cs="Times New Roman"/>
              </w:rPr>
              <w:t>, can have a group discussion regarding ROAM to analyse future risks and hopefully prevent it.</w:t>
            </w:r>
          </w:p>
          <w:p w14:paraId="479B0851" w14:textId="77777777" w:rsidR="006E6CB6" w:rsidRPr="006E6CB6" w:rsidRDefault="006E6CB6" w:rsidP="006E6CB6">
            <w:pPr>
              <w:pStyle w:val="ListParagraph"/>
              <w:numPr>
                <w:ilvl w:val="0"/>
                <w:numId w:val="0"/>
              </w:numPr>
              <w:ind w:left="1080"/>
              <w:rPr>
                <w:lang w:val="en-US"/>
              </w:rPr>
            </w:pPr>
          </w:p>
          <w:p w14:paraId="4DE9E993" w14:textId="6F7FF6EA" w:rsidR="004276F5" w:rsidRPr="009D399F" w:rsidRDefault="004276F5" w:rsidP="00A5298F">
            <w:pPr>
              <w:rPr>
                <w:lang w:val="en-US"/>
              </w:rPr>
            </w:pPr>
          </w:p>
        </w:tc>
      </w:tr>
      <w:tr w:rsidR="00DC4A6D" w14:paraId="7EB7277E" w14:textId="77777777" w:rsidTr="6069F33B">
        <w:trPr>
          <w:trHeight w:val="1202"/>
          <w:jc w:val="center"/>
        </w:trPr>
        <w:tc>
          <w:tcPr>
            <w:tcW w:w="2336" w:type="dxa"/>
            <w:vMerge/>
            <w:vAlign w:val="center"/>
          </w:tcPr>
          <w:p w14:paraId="032FD572" w14:textId="77777777" w:rsidR="00DC4A6D" w:rsidRPr="007454BB" w:rsidRDefault="00DC4A6D" w:rsidP="00CB6093">
            <w:pPr>
              <w:rPr>
                <w:color w:val="FFFFFF" w:themeColor="background1"/>
                <w:sz w:val="28"/>
                <w:szCs w:val="28"/>
              </w:rPr>
            </w:pPr>
          </w:p>
        </w:tc>
        <w:tc>
          <w:tcPr>
            <w:tcW w:w="2336" w:type="dxa"/>
            <w:vAlign w:val="center"/>
          </w:tcPr>
          <w:p w14:paraId="1B88ACA0" w14:textId="32EF4344" w:rsidR="00DC4A6D" w:rsidRDefault="00DC4A6D" w:rsidP="003B73E5">
            <w:pPr>
              <w:rPr>
                <w:lang w:val="en-US"/>
              </w:rPr>
            </w:pPr>
            <w:r w:rsidRPr="7CD6ECC3">
              <w:rPr>
                <w:lang w:val="en-US"/>
              </w:rPr>
              <w:t xml:space="preserve">Capability 2: </w:t>
            </w:r>
          </w:p>
          <w:p w14:paraId="6553494B" w14:textId="6055A72A" w:rsidR="00DC4A6D" w:rsidRDefault="004375FB" w:rsidP="003B73E5">
            <w:r>
              <w:t>Leadership</w:t>
            </w:r>
          </w:p>
        </w:tc>
        <w:tc>
          <w:tcPr>
            <w:tcW w:w="2354" w:type="dxa"/>
          </w:tcPr>
          <w:p w14:paraId="6E7A83C1" w14:textId="13C41432" w:rsidR="00DC4A6D" w:rsidRDefault="0089240B" w:rsidP="007E7DCB">
            <w:pPr>
              <w:pStyle w:val="ListParagraph"/>
              <w:numPr>
                <w:ilvl w:val="0"/>
                <w:numId w:val="17"/>
              </w:numPr>
              <w:rPr>
                <w:lang w:val="en-US"/>
              </w:rPr>
            </w:pPr>
            <w:r w:rsidRPr="007E7DCB">
              <w:rPr>
                <w:lang w:val="en-US"/>
              </w:rPr>
              <w:t>Adaptability of process through change management</w:t>
            </w:r>
          </w:p>
          <w:p w14:paraId="57FB414A" w14:textId="77777777" w:rsidR="001F3186" w:rsidRDefault="001F3186" w:rsidP="001F3186">
            <w:pPr>
              <w:pStyle w:val="ListParagraph"/>
              <w:numPr>
                <w:ilvl w:val="0"/>
                <w:numId w:val="0"/>
              </w:numPr>
              <w:ind w:left="1080"/>
              <w:rPr>
                <w:lang w:val="en-US"/>
              </w:rPr>
            </w:pPr>
          </w:p>
          <w:p w14:paraId="0FB9F1F9" w14:textId="6A97AE01" w:rsidR="004375FB" w:rsidRPr="007E7DCB" w:rsidRDefault="0089240B" w:rsidP="007E7DCB">
            <w:pPr>
              <w:pStyle w:val="ListParagraph"/>
              <w:numPr>
                <w:ilvl w:val="0"/>
                <w:numId w:val="17"/>
              </w:numPr>
              <w:rPr>
                <w:lang w:val="en-US"/>
              </w:rPr>
            </w:pPr>
            <w:r w:rsidRPr="007E7DCB">
              <w:rPr>
                <w:lang w:val="en-US"/>
              </w:rPr>
              <w:t>Ethical leadership</w:t>
            </w:r>
          </w:p>
        </w:tc>
        <w:tc>
          <w:tcPr>
            <w:tcW w:w="7003" w:type="dxa"/>
          </w:tcPr>
          <w:p w14:paraId="78A8A712" w14:textId="77777777" w:rsidR="003A338B" w:rsidRPr="003A338B" w:rsidRDefault="003A338B" w:rsidP="009D399F">
            <w:pPr>
              <w:pStyle w:val="ListParagraph"/>
              <w:numPr>
                <w:ilvl w:val="0"/>
                <w:numId w:val="19"/>
              </w:numPr>
              <w:rPr>
                <w:lang w:val="en-US"/>
              </w:rPr>
            </w:pPr>
          </w:p>
          <w:p w14:paraId="7454D0AE" w14:textId="1A8B7557" w:rsidR="003A338B" w:rsidRPr="003A338B" w:rsidRDefault="009D399F" w:rsidP="003A338B">
            <w:pPr>
              <w:pStyle w:val="ListParagraph"/>
              <w:numPr>
                <w:ilvl w:val="0"/>
                <w:numId w:val="20"/>
              </w:numPr>
              <w:rPr>
                <w:lang w:val="en-US"/>
              </w:rPr>
            </w:pPr>
            <w:r>
              <w:rPr>
                <w:rFonts w:ascii="Times New Roman" w:hAnsi="Times New Roman" w:cs="Times New Roman"/>
              </w:rPr>
              <w:t xml:space="preserve">The PD can introduce the Agile framework in the KML project, which is known for adaptability and continuous improvement. First, the PD will divide the 9–12-month project into 4-week iterations. </w:t>
            </w:r>
          </w:p>
          <w:p w14:paraId="1E4B469B" w14:textId="77777777" w:rsidR="003A338B" w:rsidRPr="003A338B" w:rsidRDefault="003A338B" w:rsidP="003A338B">
            <w:pPr>
              <w:pStyle w:val="ListParagraph"/>
              <w:numPr>
                <w:ilvl w:val="0"/>
                <w:numId w:val="0"/>
              </w:numPr>
              <w:ind w:left="1093"/>
              <w:rPr>
                <w:lang w:val="en-US"/>
              </w:rPr>
            </w:pPr>
          </w:p>
          <w:p w14:paraId="1B01E1F0" w14:textId="77777777" w:rsidR="003A338B" w:rsidRPr="003A338B" w:rsidRDefault="009D399F" w:rsidP="003A338B">
            <w:pPr>
              <w:pStyle w:val="ListParagraph"/>
              <w:numPr>
                <w:ilvl w:val="0"/>
                <w:numId w:val="20"/>
              </w:numPr>
              <w:rPr>
                <w:lang w:val="en-US"/>
              </w:rPr>
            </w:pPr>
            <w:r w:rsidRPr="003A338B">
              <w:rPr>
                <w:rFonts w:ascii="Times New Roman" w:hAnsi="Times New Roman" w:cs="Times New Roman"/>
              </w:rPr>
              <w:t xml:space="preserve">Second, at the start of each iteration, the PD will collaborate with the team regarding the tasks that will be committed for each iteration. </w:t>
            </w:r>
          </w:p>
          <w:p w14:paraId="2A1872DD" w14:textId="77777777" w:rsidR="003A338B" w:rsidRPr="003A338B" w:rsidRDefault="003A338B" w:rsidP="003A338B">
            <w:pPr>
              <w:pStyle w:val="ListParagraph"/>
              <w:numPr>
                <w:ilvl w:val="0"/>
                <w:numId w:val="0"/>
              </w:numPr>
              <w:ind w:left="1080"/>
              <w:rPr>
                <w:lang w:val="en-US"/>
              </w:rPr>
            </w:pPr>
          </w:p>
          <w:p w14:paraId="300E300A" w14:textId="77777777" w:rsidR="003A338B" w:rsidRDefault="009D399F" w:rsidP="003A338B">
            <w:pPr>
              <w:pStyle w:val="ListParagraph"/>
              <w:numPr>
                <w:ilvl w:val="0"/>
                <w:numId w:val="20"/>
              </w:numPr>
              <w:rPr>
                <w:rFonts w:ascii="Times New Roman" w:hAnsi="Times New Roman" w:cs="Times New Roman"/>
              </w:rPr>
            </w:pPr>
            <w:r w:rsidRPr="003A338B">
              <w:rPr>
                <w:rFonts w:ascii="Times New Roman" w:hAnsi="Times New Roman" w:cs="Times New Roman"/>
              </w:rPr>
              <w:t xml:space="preserve">Third, during each iteration, the PD will ask for daily updates as well as collaborate with the stakeholders to revise and groom the tasks. </w:t>
            </w:r>
          </w:p>
          <w:p w14:paraId="2B55B34B" w14:textId="77777777" w:rsidR="003A338B" w:rsidRPr="003A338B" w:rsidRDefault="003A338B" w:rsidP="003A338B">
            <w:pPr>
              <w:pStyle w:val="ListParagraph"/>
              <w:numPr>
                <w:ilvl w:val="0"/>
                <w:numId w:val="0"/>
              </w:numPr>
              <w:ind w:left="1080"/>
              <w:rPr>
                <w:rFonts w:ascii="Times New Roman" w:hAnsi="Times New Roman" w:cs="Times New Roman"/>
              </w:rPr>
            </w:pPr>
          </w:p>
          <w:p w14:paraId="523958C9" w14:textId="77777777" w:rsidR="003A338B" w:rsidRDefault="009D399F" w:rsidP="003A338B">
            <w:pPr>
              <w:pStyle w:val="ListParagraph"/>
              <w:numPr>
                <w:ilvl w:val="0"/>
                <w:numId w:val="20"/>
              </w:numPr>
              <w:rPr>
                <w:rFonts w:ascii="Times New Roman" w:hAnsi="Times New Roman" w:cs="Times New Roman"/>
              </w:rPr>
            </w:pPr>
            <w:r w:rsidRPr="003A338B">
              <w:rPr>
                <w:rFonts w:ascii="Times New Roman" w:hAnsi="Times New Roman" w:cs="Times New Roman"/>
              </w:rPr>
              <w:lastRenderedPageBreak/>
              <w:t xml:space="preserve">Fourth, towards the end of each iteration, the team will showcase the tasks that were completed for the iteration in preparation for the next iteration. </w:t>
            </w:r>
          </w:p>
          <w:p w14:paraId="7D0FF1E7" w14:textId="77777777" w:rsidR="003A338B" w:rsidRPr="003A338B" w:rsidRDefault="003A338B" w:rsidP="003A338B">
            <w:pPr>
              <w:pStyle w:val="ListParagraph"/>
              <w:numPr>
                <w:ilvl w:val="0"/>
                <w:numId w:val="0"/>
              </w:numPr>
              <w:ind w:left="1080"/>
              <w:rPr>
                <w:rFonts w:ascii="Times New Roman" w:hAnsi="Times New Roman" w:cs="Times New Roman"/>
              </w:rPr>
            </w:pPr>
          </w:p>
          <w:p w14:paraId="3DDB6FF4" w14:textId="77777777" w:rsidR="003A338B" w:rsidRDefault="009D399F" w:rsidP="003A338B">
            <w:pPr>
              <w:pStyle w:val="ListParagraph"/>
              <w:numPr>
                <w:ilvl w:val="0"/>
                <w:numId w:val="20"/>
              </w:numPr>
              <w:rPr>
                <w:rFonts w:ascii="Times New Roman" w:hAnsi="Times New Roman" w:cs="Times New Roman"/>
              </w:rPr>
            </w:pPr>
            <w:r w:rsidRPr="003A338B">
              <w:rPr>
                <w:rFonts w:ascii="Times New Roman" w:hAnsi="Times New Roman" w:cs="Times New Roman"/>
              </w:rPr>
              <w:t xml:space="preserve">Fifth, at the end of each iteration, the PD will have an Agile Retrospective which is group discussion with the team and the stakeholders to discuss the following things during the iterations. The topics in the discussion range from what went well, what did not go well during the current iteration, and what should we do based on the things that went well and did not go well. </w:t>
            </w:r>
          </w:p>
          <w:p w14:paraId="2662BEC1" w14:textId="77777777" w:rsidR="003A338B" w:rsidRPr="003A338B" w:rsidRDefault="003A338B" w:rsidP="003A338B">
            <w:pPr>
              <w:pStyle w:val="ListParagraph"/>
              <w:numPr>
                <w:ilvl w:val="0"/>
                <w:numId w:val="0"/>
              </w:numPr>
              <w:ind w:left="1080"/>
              <w:rPr>
                <w:rFonts w:ascii="Times New Roman" w:hAnsi="Times New Roman" w:cs="Times New Roman"/>
              </w:rPr>
            </w:pPr>
          </w:p>
          <w:p w14:paraId="62E8B7C1" w14:textId="545AF75A" w:rsidR="007F3740" w:rsidRPr="003A338B" w:rsidRDefault="009D399F" w:rsidP="003A338B">
            <w:pPr>
              <w:pStyle w:val="ListParagraph"/>
              <w:numPr>
                <w:ilvl w:val="0"/>
                <w:numId w:val="20"/>
              </w:numPr>
              <w:rPr>
                <w:rFonts w:ascii="Times New Roman" w:hAnsi="Times New Roman" w:cs="Times New Roman"/>
              </w:rPr>
            </w:pPr>
            <w:r w:rsidRPr="003A338B">
              <w:rPr>
                <w:rFonts w:ascii="Times New Roman" w:hAnsi="Times New Roman" w:cs="Times New Roman"/>
              </w:rPr>
              <w:t xml:space="preserve">Sixth, the PD will relay with the team and the stakeholders the things that were discussed during the Agile Retrospective, and implement it on the next iteration </w:t>
            </w:r>
            <w:r w:rsidR="008F43B1">
              <w:rPr>
                <w:rFonts w:ascii="Times New Roman" w:hAnsi="Times New Roman" w:cs="Times New Roman"/>
              </w:rPr>
              <w:fldChar w:fldCharType="begin"/>
            </w:r>
            <w:r w:rsidR="008F43B1">
              <w:rPr>
                <w:rFonts w:ascii="Times New Roman" w:hAnsi="Times New Roman" w:cs="Times New Roman"/>
              </w:rPr>
              <w:instrText xml:space="preserve"> ADDIN ZOTERO_ITEM CSL_CITATION {"citationID":"90y0Io3m","properties":{"formattedCitation":"(Drumond, n.d.)","plainCitation":"(Drumond, n.d.)","noteIndex":0},"citationItems":[{"id":94,"uris":["http://zotero.org/users/local/Qseh2Ukg/items/2EC43PM8"],"itemData":{"id":94,"type":"webpage","abstract":"Do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agencies.","container-title":"Atlassian","language":"en","title":"Agile Project Management - What is it and how to get started?","URL":"https://www.atlassian.com/agile/project-management","author":[{"family":"Drumond","given":"Claire"}],"accessed":{"date-parts":[["2024",10,25]]}}}],"schema":"https://github.com/citation-style-language/schema/raw/master/csl-citation.json"} </w:instrText>
            </w:r>
            <w:r w:rsidR="008F43B1">
              <w:rPr>
                <w:rFonts w:ascii="Times New Roman" w:hAnsi="Times New Roman" w:cs="Times New Roman"/>
              </w:rPr>
              <w:fldChar w:fldCharType="separate"/>
            </w:r>
            <w:r w:rsidR="001D0DB1">
              <w:rPr>
                <w:rFonts w:ascii="Times New Roman" w:hAnsi="Times New Roman" w:cs="Times New Roman"/>
                <w:noProof/>
              </w:rPr>
              <w:t>(Drumond, n.d.)</w:t>
            </w:r>
            <w:r w:rsidR="008F43B1">
              <w:rPr>
                <w:rFonts w:ascii="Times New Roman" w:hAnsi="Times New Roman" w:cs="Times New Roman"/>
              </w:rPr>
              <w:fldChar w:fldCharType="end"/>
            </w:r>
            <w:r w:rsidR="008F43B1">
              <w:rPr>
                <w:rFonts w:ascii="Times New Roman" w:hAnsi="Times New Roman" w:cs="Times New Roman"/>
              </w:rPr>
              <w:t>.</w:t>
            </w:r>
          </w:p>
          <w:p w14:paraId="083F6B44" w14:textId="77777777" w:rsidR="00053943" w:rsidRPr="00053943" w:rsidRDefault="00053943" w:rsidP="00053943">
            <w:pPr>
              <w:rPr>
                <w:lang w:val="en-US"/>
              </w:rPr>
            </w:pPr>
          </w:p>
          <w:p w14:paraId="701771F0" w14:textId="3B3ECFD0" w:rsidR="007E7DCB" w:rsidRPr="00053943" w:rsidRDefault="00053943" w:rsidP="00053943">
            <w:pPr>
              <w:pStyle w:val="ListParagraph"/>
              <w:numPr>
                <w:ilvl w:val="0"/>
                <w:numId w:val="19"/>
              </w:numPr>
              <w:rPr>
                <w:lang w:val="en-US"/>
              </w:rPr>
            </w:pPr>
            <w:r>
              <w:rPr>
                <w:rFonts w:ascii="Times New Roman" w:hAnsi="Times New Roman" w:cs="Times New Roman"/>
              </w:rPr>
              <w:t xml:space="preserve">The PD should be responsible for making the project be profitable but should not engage in illegal behaviours as that will cause reputation loss. When there is an expectation to make profits, there are people who come to offer the metal at reduced rate, which is illegal. An ethical PD must be able to withstand that temptation </w:t>
            </w:r>
            <w:r w:rsidR="00F7631C">
              <w:rPr>
                <w:rFonts w:ascii="Times New Roman" w:hAnsi="Times New Roman" w:cs="Times New Roman"/>
              </w:rPr>
              <w:fldChar w:fldCharType="begin"/>
            </w:r>
            <w:r w:rsidR="00F7631C">
              <w:rPr>
                <w:rFonts w:ascii="Times New Roman" w:hAnsi="Times New Roman" w:cs="Times New Roman"/>
              </w:rPr>
              <w:instrText xml:space="preserve"> ADDIN ZOTERO_ITEM CSL_CITATION {"citationID":"uXDsSkIM","properties":{"formattedCitation":"(Nkosi, 2014)","plainCitation":"(Nkosi, 2014)","noteIndex":0},"citationItems":[{"id":95,"uris":["http://zotero.org/users/local/Qseh2Ukg/items/ZZXX4HHC"],"itemData":{"id":95,"type":"thesis","title":"Exploring ethical leadership and its association with sustainable economic performance within the gold mining industry","author":[{"family":"Nkosi","given":"Nhlanhla Terance Mashobane"}],"issued":{"date-parts":[["2014",11,10]]}}}],"schema":"https://github.com/citation-style-language/schema/raw/master/csl-citation.json"} </w:instrText>
            </w:r>
            <w:r w:rsidR="00F7631C">
              <w:rPr>
                <w:rFonts w:ascii="Times New Roman" w:hAnsi="Times New Roman" w:cs="Times New Roman"/>
              </w:rPr>
              <w:fldChar w:fldCharType="separate"/>
            </w:r>
            <w:r w:rsidR="001D0DB1">
              <w:rPr>
                <w:rFonts w:ascii="Times New Roman" w:hAnsi="Times New Roman" w:cs="Times New Roman"/>
                <w:noProof/>
              </w:rPr>
              <w:t>(Nkosi, 2014)</w:t>
            </w:r>
            <w:r w:rsidR="00F7631C">
              <w:rPr>
                <w:rFonts w:ascii="Times New Roman" w:hAnsi="Times New Roman" w:cs="Times New Roman"/>
              </w:rPr>
              <w:fldChar w:fldCharType="end"/>
            </w:r>
            <w:r w:rsidR="00F7631C">
              <w:rPr>
                <w:rFonts w:ascii="Times New Roman" w:hAnsi="Times New Roman" w:cs="Times New Roman"/>
              </w:rPr>
              <w:t>.</w:t>
            </w:r>
          </w:p>
          <w:p w14:paraId="5D18EC69" w14:textId="77777777" w:rsidR="00053943" w:rsidRDefault="00053943" w:rsidP="00053943">
            <w:pPr>
              <w:pStyle w:val="ListParagraph"/>
              <w:numPr>
                <w:ilvl w:val="0"/>
                <w:numId w:val="0"/>
              </w:numPr>
              <w:ind w:left="1080"/>
              <w:rPr>
                <w:lang w:val="en-US"/>
              </w:rPr>
            </w:pPr>
          </w:p>
          <w:p w14:paraId="485FBCC4" w14:textId="77777777" w:rsidR="00053943" w:rsidRPr="00053943" w:rsidRDefault="00053943" w:rsidP="00053943">
            <w:pPr>
              <w:pStyle w:val="ListParagraph"/>
              <w:numPr>
                <w:ilvl w:val="0"/>
                <w:numId w:val="0"/>
              </w:numPr>
              <w:ind w:left="1080"/>
              <w:rPr>
                <w:lang w:val="en-US"/>
              </w:rPr>
            </w:pPr>
          </w:p>
          <w:p w14:paraId="592BC1D0" w14:textId="367A96D5" w:rsidR="009D399F" w:rsidRPr="009D399F" w:rsidRDefault="009D399F" w:rsidP="00886630">
            <w:pPr>
              <w:rPr>
                <w:lang w:val="en-US"/>
              </w:rPr>
            </w:pPr>
          </w:p>
        </w:tc>
      </w:tr>
      <w:tr w:rsidR="006C4347" w14:paraId="60D8739D" w14:textId="77777777" w:rsidTr="6069F33B">
        <w:trPr>
          <w:jc w:val="center"/>
        </w:trPr>
        <w:tc>
          <w:tcPr>
            <w:tcW w:w="2336" w:type="dxa"/>
            <w:vMerge w:val="restart"/>
            <w:shd w:val="clear" w:color="auto" w:fill="808080" w:themeFill="background1" w:themeFillShade="80"/>
            <w:vAlign w:val="center"/>
          </w:tcPr>
          <w:p w14:paraId="283FECAA" w14:textId="77777777" w:rsidR="006C4347" w:rsidRPr="007454BB" w:rsidRDefault="006C4347" w:rsidP="00CB6093">
            <w:pPr>
              <w:pStyle w:val="ListParagraph"/>
              <w:numPr>
                <w:ilvl w:val="0"/>
                <w:numId w:val="2"/>
              </w:numPr>
              <w:rPr>
                <w:color w:val="FFFFFF" w:themeColor="background1"/>
                <w:sz w:val="28"/>
                <w:szCs w:val="28"/>
              </w:rPr>
            </w:pPr>
            <w:r w:rsidRPr="007454BB">
              <w:rPr>
                <w:color w:val="FFFFFF" w:themeColor="background1"/>
                <w:sz w:val="28"/>
                <w:szCs w:val="28"/>
                <w:lang w:val="en-US"/>
              </w:rPr>
              <w:lastRenderedPageBreak/>
              <w:t>Māori Values in the KML</w:t>
            </w:r>
          </w:p>
        </w:tc>
        <w:tc>
          <w:tcPr>
            <w:tcW w:w="2336" w:type="dxa"/>
            <w:vAlign w:val="center"/>
          </w:tcPr>
          <w:p w14:paraId="3ACF33B4" w14:textId="77777777" w:rsidR="002D612F" w:rsidRDefault="006C4347" w:rsidP="00CB6093">
            <w:pPr>
              <w:rPr>
                <w:lang w:val="en-US"/>
              </w:rPr>
            </w:pPr>
            <w:r>
              <w:rPr>
                <w:lang w:val="en-US"/>
              </w:rPr>
              <w:t xml:space="preserve">Māori Value 1: </w:t>
            </w:r>
            <w:r w:rsidR="002D612F">
              <w:rPr>
                <w:lang w:val="en-US"/>
              </w:rPr>
              <w:t xml:space="preserve"> </w:t>
            </w:r>
          </w:p>
          <w:p w14:paraId="3766F2FA" w14:textId="640F5225" w:rsidR="006C4347" w:rsidRDefault="002D612F" w:rsidP="00CB6093">
            <w:pPr>
              <w:rPr>
                <w:lang w:val="en-US"/>
              </w:rPr>
            </w:pPr>
            <w:proofErr w:type="spellStart"/>
            <w:r>
              <w:rPr>
                <w:lang w:val="en-US"/>
              </w:rPr>
              <w:t>Tapu</w:t>
            </w:r>
            <w:proofErr w:type="spellEnd"/>
            <w:r>
              <w:rPr>
                <w:lang w:val="en-US"/>
              </w:rPr>
              <w:t xml:space="preserve"> and Noa</w:t>
            </w:r>
          </w:p>
          <w:p w14:paraId="038423A9" w14:textId="65CF6E8C" w:rsidR="006C4347" w:rsidRPr="00E7532C" w:rsidRDefault="006C4347" w:rsidP="00CB6093">
            <w:pPr>
              <w:rPr>
                <w:lang w:val="en-US"/>
              </w:rPr>
            </w:pPr>
          </w:p>
        </w:tc>
        <w:tc>
          <w:tcPr>
            <w:tcW w:w="2354" w:type="dxa"/>
          </w:tcPr>
          <w:p w14:paraId="72393248" w14:textId="38F988B6" w:rsidR="000E3F9A" w:rsidRPr="00B56C3C" w:rsidRDefault="00B56C3C" w:rsidP="00B56C3C">
            <w:pPr>
              <w:pStyle w:val="ListParagraph"/>
              <w:numPr>
                <w:ilvl w:val="0"/>
                <w:numId w:val="26"/>
              </w:numPr>
              <w:rPr>
                <w:lang w:val="en-US"/>
              </w:rPr>
            </w:pPr>
            <w:r>
              <w:rPr>
                <w:lang w:val="en-US"/>
              </w:rPr>
              <w:t>Restrictions and prohibitions</w:t>
            </w:r>
          </w:p>
          <w:p w14:paraId="67132B0F" w14:textId="77777777" w:rsidR="00DC4A6D" w:rsidRDefault="00DC4A6D" w:rsidP="002519D7">
            <w:pPr>
              <w:pStyle w:val="ListParagraph"/>
              <w:numPr>
                <w:ilvl w:val="0"/>
                <w:numId w:val="0"/>
              </w:numPr>
              <w:ind w:left="457"/>
              <w:rPr>
                <w:lang w:val="en-US"/>
              </w:rPr>
            </w:pPr>
          </w:p>
          <w:p w14:paraId="0800722D" w14:textId="77777777" w:rsidR="00DC4A6D" w:rsidRDefault="00DC4A6D" w:rsidP="002519D7">
            <w:pPr>
              <w:pStyle w:val="ListParagraph"/>
              <w:numPr>
                <w:ilvl w:val="0"/>
                <w:numId w:val="0"/>
              </w:numPr>
              <w:ind w:left="457"/>
              <w:rPr>
                <w:lang w:val="en-US"/>
              </w:rPr>
            </w:pPr>
          </w:p>
          <w:p w14:paraId="41A5AB21" w14:textId="787B7D3D" w:rsidR="00DC4A6D" w:rsidRPr="00266B5B" w:rsidRDefault="00DC4A6D" w:rsidP="002519D7">
            <w:pPr>
              <w:pStyle w:val="ListParagraph"/>
              <w:numPr>
                <w:ilvl w:val="0"/>
                <w:numId w:val="0"/>
              </w:numPr>
              <w:ind w:left="457"/>
              <w:rPr>
                <w:lang w:val="en-US"/>
              </w:rPr>
            </w:pPr>
          </w:p>
        </w:tc>
        <w:tc>
          <w:tcPr>
            <w:tcW w:w="7003" w:type="dxa"/>
          </w:tcPr>
          <w:p w14:paraId="5E3926D3" w14:textId="3A963BF3" w:rsidR="00266B5B" w:rsidRDefault="00324E45" w:rsidP="00324E45">
            <w:pPr>
              <w:pStyle w:val="ListParagraph"/>
              <w:numPr>
                <w:ilvl w:val="0"/>
                <w:numId w:val="24"/>
              </w:numPr>
              <w:rPr>
                <w:lang w:val="en-US"/>
              </w:rPr>
            </w:pPr>
            <w:r>
              <w:rPr>
                <w:lang w:val="en-US"/>
              </w:rPr>
              <w:t>The PD</w:t>
            </w:r>
            <w:r w:rsidR="00976DB7">
              <w:rPr>
                <w:lang w:val="en-US"/>
              </w:rPr>
              <w:t xml:space="preserve"> can incorporate this by training the</w:t>
            </w:r>
            <w:r>
              <w:rPr>
                <w:lang w:val="en-US"/>
              </w:rPr>
              <w:t xml:space="preserve"> team</w:t>
            </w:r>
            <w:r w:rsidR="00976DB7">
              <w:rPr>
                <w:lang w:val="en-US"/>
              </w:rPr>
              <w:t xml:space="preserve"> f</w:t>
            </w:r>
            <w:r>
              <w:rPr>
                <w:lang w:val="en-US"/>
              </w:rPr>
              <w:t xml:space="preserve">or </w:t>
            </w:r>
            <w:r w:rsidR="00B6376A">
              <w:rPr>
                <w:lang w:val="en-US"/>
              </w:rPr>
              <w:t xml:space="preserve">different </w:t>
            </w:r>
            <w:r>
              <w:rPr>
                <w:lang w:val="en-US"/>
              </w:rPr>
              <w:t>protocols</w:t>
            </w:r>
            <w:r w:rsidR="00AF4993">
              <w:rPr>
                <w:lang w:val="en-US"/>
              </w:rPr>
              <w:t xml:space="preserve"> and restrictions</w:t>
            </w:r>
            <w:r w:rsidR="00976DB7">
              <w:rPr>
                <w:lang w:val="en-US"/>
              </w:rPr>
              <w:t xml:space="preserve"> when entering or exploring </w:t>
            </w:r>
            <w:proofErr w:type="spellStart"/>
            <w:r w:rsidR="00976DB7">
              <w:rPr>
                <w:lang w:val="en-US"/>
              </w:rPr>
              <w:t>Tapu</w:t>
            </w:r>
            <w:proofErr w:type="spellEnd"/>
            <w:r>
              <w:rPr>
                <w:lang w:val="en-US"/>
              </w:rPr>
              <w:t xml:space="preserve"> sites so as not to dishonor Māori traditions</w:t>
            </w:r>
            <w:r w:rsidR="00511FDF">
              <w:rPr>
                <w:lang w:val="en-US"/>
              </w:rPr>
              <w:fldChar w:fldCharType="begin"/>
            </w:r>
            <w:r w:rsidR="00511FDF">
              <w:rPr>
                <w:lang w:val="en-US"/>
              </w:rPr>
              <w:instrText xml:space="preserve"> ADDIN ZOTERO_ITEM CSL_CITATION {"citationID":"qq9aAFOn","properties":{"formattedCitation":"(Ataria et al., 2016)","plainCitation":"(Ataria et al., 2016)","noteIndex":0},"citationItems":[{"id":96,"uris":["http://zotero.org/users/local/Qseh2Ukg/items/QPGTT2Z4"],"itemData":{"id":96,"type":"book","title":"From Tapu to Noa - Māori cultural views on biowastes management: a focus on biosolids","author":[{"family":"Ataria","given":"James"},{"family":"Baker","given":"Virginia"},{"family":"Goven","given":"Joanna"},{"family":"Langer","given":"E.R. (Lisa)"},{"family":"Leckie","given":"Alan"},{"family":"Ross","given":"Mark"},{"family":"Horswell","given":"Jacqui"}],"issued":{"date-parts":[["2016",3]]}}}],"schema":"https://github.com/citation-style-language/schema/raw/master/csl-citation.json"} </w:instrText>
            </w:r>
            <w:r w:rsidR="00511FDF">
              <w:rPr>
                <w:lang w:val="en-US"/>
              </w:rPr>
              <w:fldChar w:fldCharType="separate"/>
            </w:r>
            <w:r w:rsidR="001D0DB1">
              <w:rPr>
                <w:noProof/>
                <w:lang w:val="en-US"/>
              </w:rPr>
              <w:t>(</w:t>
            </w:r>
            <w:proofErr w:type="spellStart"/>
            <w:r w:rsidR="001D0DB1">
              <w:rPr>
                <w:noProof/>
                <w:lang w:val="en-US"/>
              </w:rPr>
              <w:t>Ataria</w:t>
            </w:r>
            <w:proofErr w:type="spellEnd"/>
            <w:r w:rsidR="001D0DB1">
              <w:rPr>
                <w:noProof/>
                <w:lang w:val="en-US"/>
              </w:rPr>
              <w:t xml:space="preserve"> et al., 2016)</w:t>
            </w:r>
            <w:r w:rsidR="00511FDF">
              <w:rPr>
                <w:lang w:val="en-US"/>
              </w:rPr>
              <w:fldChar w:fldCharType="end"/>
            </w:r>
            <w:r w:rsidR="001C0F05">
              <w:rPr>
                <w:lang w:val="en-US"/>
              </w:rPr>
              <w:t xml:space="preserve">. This is in respect to </w:t>
            </w:r>
            <w:proofErr w:type="spellStart"/>
            <w:r w:rsidR="001C0F05">
              <w:rPr>
                <w:lang w:val="en-US"/>
              </w:rPr>
              <w:t>DoC</w:t>
            </w:r>
            <w:proofErr w:type="spellEnd"/>
            <w:r w:rsidR="001C0F05">
              <w:rPr>
                <w:lang w:val="en-US"/>
              </w:rPr>
              <w:t xml:space="preserve"> as they have the responsibility to advocate for the conservation of natural and historic resources, both on and </w:t>
            </w:r>
            <w:r w:rsidR="001C0F05">
              <w:rPr>
                <w:lang w:val="en-US"/>
              </w:rPr>
              <w:lastRenderedPageBreak/>
              <w:t xml:space="preserve">off land or waters managed by </w:t>
            </w:r>
            <w:proofErr w:type="spellStart"/>
            <w:r w:rsidR="001C0F05">
              <w:rPr>
                <w:lang w:val="en-US"/>
              </w:rPr>
              <w:t>DoC</w:t>
            </w:r>
            <w:proofErr w:type="spellEnd"/>
            <w:r w:rsidR="00A30999">
              <w:rPr>
                <w:lang w:val="en-US"/>
              </w:rPr>
              <w:t xml:space="preserve"> </w:t>
            </w:r>
            <w:r w:rsidR="00186CA7">
              <w:rPr>
                <w:lang w:val="en-US"/>
              </w:rPr>
              <w:fldChar w:fldCharType="begin"/>
            </w:r>
            <w:r w:rsidR="00186CA7">
              <w:rPr>
                <w:lang w:val="en-US"/>
              </w:rPr>
              <w:instrText xml:space="preserve"> ADDIN ZOTERO_ITEM CSL_CITATION {"citationID":"W07A4mhj","properties":{"formattedCitation":"({\\i{}National RMA and EEZA Advocacy Strategy}, n.d.)","plainCitation":"(National RMA and EEZA Advocacy Strategy, n.d.)","noteIndex":0},"citationItems":[{"id":97,"uris":["http://zotero.org/users/local/Qseh2Ukg/items/8935N29W"],"itemData":{"id":97,"type":"webpage","abstract":"Do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agencies.","container-title":"Department of Conservation Te Papa Atawhai","language":"en","title":"National RMA and EEZA Advocacy Strategy","URL":"https://www.doc.govt.nz/about-us/our-role/managing-conservation/resource-management/national-rma-and-eeza-advocacy-strategy/","accessed":{"date-parts":[["2024",10,25]]}}}],"schema":"https://github.com/citation-style-language/schema/raw/master/csl-citation.json"} </w:instrText>
            </w:r>
            <w:r w:rsidR="00186CA7">
              <w:rPr>
                <w:lang w:val="en-US"/>
              </w:rPr>
              <w:fldChar w:fldCharType="separate"/>
            </w:r>
            <w:r w:rsidR="001D0DB1" w:rsidRPr="001D0DB1">
              <w:rPr>
                <w:rFonts w:ascii="Calibri" w:cs="Calibri"/>
                <w:kern w:val="0"/>
                <w:lang w:val="en-US"/>
              </w:rPr>
              <w:t>(</w:t>
            </w:r>
            <w:r w:rsidR="001D0DB1" w:rsidRPr="001D0DB1">
              <w:rPr>
                <w:rFonts w:ascii="Calibri" w:cs="Calibri"/>
                <w:i/>
                <w:iCs/>
                <w:kern w:val="0"/>
                <w:lang w:val="en-US"/>
              </w:rPr>
              <w:t>National RMA and EEZA Advocacy Strategy</w:t>
            </w:r>
            <w:r w:rsidR="001D0DB1" w:rsidRPr="001D0DB1">
              <w:rPr>
                <w:rFonts w:ascii="Calibri" w:cs="Calibri"/>
                <w:kern w:val="0"/>
                <w:lang w:val="en-US"/>
              </w:rPr>
              <w:t>, n.d.)</w:t>
            </w:r>
            <w:r w:rsidR="00186CA7">
              <w:rPr>
                <w:lang w:val="en-US"/>
              </w:rPr>
              <w:fldChar w:fldCharType="end"/>
            </w:r>
            <w:r w:rsidR="00186CA7">
              <w:rPr>
                <w:lang w:val="en-US"/>
              </w:rPr>
              <w:t>.</w:t>
            </w:r>
          </w:p>
          <w:p w14:paraId="45E7EE71" w14:textId="2FE4C963" w:rsidR="00F44E80" w:rsidRPr="001C0F05" w:rsidRDefault="00F44E80" w:rsidP="00F44E80">
            <w:pPr>
              <w:rPr>
                <w:lang w:val="en-US"/>
              </w:rPr>
            </w:pPr>
          </w:p>
          <w:p w14:paraId="05E943BE" w14:textId="51CB1F2C" w:rsidR="005977AA" w:rsidRPr="001C0F05" w:rsidRDefault="005977AA" w:rsidP="001C0F05">
            <w:pPr>
              <w:rPr>
                <w:lang w:val="en-US"/>
              </w:rPr>
            </w:pPr>
          </w:p>
        </w:tc>
      </w:tr>
      <w:tr w:rsidR="00266B5B" w14:paraId="49AB4CE8" w14:textId="77777777" w:rsidTr="6069F33B">
        <w:trPr>
          <w:jc w:val="center"/>
        </w:trPr>
        <w:tc>
          <w:tcPr>
            <w:tcW w:w="2336" w:type="dxa"/>
            <w:vMerge/>
          </w:tcPr>
          <w:p w14:paraId="6AD83296" w14:textId="77777777" w:rsidR="00266B5B" w:rsidRDefault="00266B5B" w:rsidP="00CB6093"/>
        </w:tc>
        <w:tc>
          <w:tcPr>
            <w:tcW w:w="2336" w:type="dxa"/>
            <w:vAlign w:val="center"/>
          </w:tcPr>
          <w:p w14:paraId="03199B8F" w14:textId="3C4C334A" w:rsidR="00266B5B" w:rsidRDefault="00266B5B" w:rsidP="00CB6093">
            <w:pPr>
              <w:rPr>
                <w:lang w:val="en-US"/>
              </w:rPr>
            </w:pPr>
            <w:r>
              <w:rPr>
                <w:lang w:val="en-US"/>
              </w:rPr>
              <w:t xml:space="preserve">Māori Value 2: </w:t>
            </w:r>
            <w:r w:rsidR="00B56C3C">
              <w:rPr>
                <w:lang w:val="en-US"/>
              </w:rPr>
              <w:br/>
            </w:r>
            <w:proofErr w:type="spellStart"/>
            <w:r w:rsidR="00B56C3C">
              <w:rPr>
                <w:lang w:val="en-US"/>
              </w:rPr>
              <w:t>Kaitiakitanga</w:t>
            </w:r>
            <w:proofErr w:type="spellEnd"/>
          </w:p>
          <w:p w14:paraId="08716231" w14:textId="61D0E42C" w:rsidR="00266B5B" w:rsidRPr="00E7532C" w:rsidRDefault="00266B5B" w:rsidP="00CB6093">
            <w:pPr>
              <w:rPr>
                <w:lang w:val="en-US"/>
              </w:rPr>
            </w:pPr>
          </w:p>
        </w:tc>
        <w:tc>
          <w:tcPr>
            <w:tcW w:w="2354" w:type="dxa"/>
          </w:tcPr>
          <w:p w14:paraId="575D9D52" w14:textId="269C4E16" w:rsidR="00266B5B" w:rsidRPr="00B56C3C" w:rsidRDefault="00B56C3C" w:rsidP="00B56C3C">
            <w:pPr>
              <w:pStyle w:val="ListParagraph"/>
              <w:numPr>
                <w:ilvl w:val="0"/>
                <w:numId w:val="27"/>
              </w:numPr>
              <w:rPr>
                <w:lang w:val="en-US"/>
              </w:rPr>
            </w:pPr>
            <w:r>
              <w:rPr>
                <w:lang w:val="en-US"/>
              </w:rPr>
              <w:t>Guardianship and responsibility</w:t>
            </w:r>
          </w:p>
          <w:p w14:paraId="089F7A1E" w14:textId="77777777" w:rsidR="00DC4A6D" w:rsidRDefault="00DC4A6D" w:rsidP="002519D7">
            <w:pPr>
              <w:pStyle w:val="ListParagraph"/>
              <w:numPr>
                <w:ilvl w:val="0"/>
                <w:numId w:val="0"/>
              </w:numPr>
              <w:ind w:left="457"/>
              <w:rPr>
                <w:lang w:val="en-US"/>
              </w:rPr>
            </w:pPr>
          </w:p>
          <w:p w14:paraId="00D9048F" w14:textId="77777777" w:rsidR="00DC4A6D" w:rsidRDefault="00DC4A6D" w:rsidP="002519D7">
            <w:pPr>
              <w:pStyle w:val="ListParagraph"/>
              <w:numPr>
                <w:ilvl w:val="0"/>
                <w:numId w:val="0"/>
              </w:numPr>
              <w:ind w:left="457"/>
              <w:rPr>
                <w:lang w:val="en-US"/>
              </w:rPr>
            </w:pPr>
          </w:p>
          <w:p w14:paraId="7DF43A1C" w14:textId="77777777" w:rsidR="00DC4A6D" w:rsidRPr="00E7532C" w:rsidRDefault="00DC4A6D" w:rsidP="002519D7">
            <w:pPr>
              <w:pStyle w:val="ListParagraph"/>
              <w:numPr>
                <w:ilvl w:val="0"/>
                <w:numId w:val="0"/>
              </w:numPr>
              <w:ind w:left="457"/>
              <w:rPr>
                <w:lang w:val="en-US"/>
              </w:rPr>
            </w:pPr>
          </w:p>
        </w:tc>
        <w:tc>
          <w:tcPr>
            <w:tcW w:w="7003" w:type="dxa"/>
          </w:tcPr>
          <w:p w14:paraId="7287B66E" w14:textId="5922C7B0" w:rsidR="00266B5B" w:rsidRPr="009F3B4B" w:rsidRDefault="00CB0EE2" w:rsidP="00CB0EE2">
            <w:pPr>
              <w:pStyle w:val="ListParagraph"/>
              <w:numPr>
                <w:ilvl w:val="0"/>
                <w:numId w:val="23"/>
              </w:numPr>
            </w:pPr>
            <w:r>
              <w:rPr>
                <w:rFonts w:ascii="Times New Roman" w:hAnsi="Times New Roman" w:cs="Times New Roman"/>
              </w:rPr>
              <w:t xml:space="preserve">the PD can incorporate this by collaborating with the kaitiaki of the land in question and the local community, and discuss conservation activities such as following: planning to minimize environmental damage to the Mahia Peninsula, reforestation initiatives to restore the environmental damage, preservation of wildlife living in Mahia Peninsula, risk management in relation to mineral exploration </w:t>
            </w:r>
            <w:r w:rsidR="001F1A4B">
              <w:rPr>
                <w:rFonts w:ascii="Times New Roman" w:hAnsi="Times New Roman" w:cs="Times New Roman"/>
              </w:rPr>
              <w:fldChar w:fldCharType="begin"/>
            </w:r>
            <w:r w:rsidR="001F1A4B">
              <w:rPr>
                <w:rFonts w:ascii="Times New Roman" w:hAnsi="Times New Roman" w:cs="Times New Roman"/>
              </w:rPr>
              <w:instrText xml:space="preserve"> ADDIN ZOTERO_ITEM CSL_CITATION {"citationID":"5Fov4cAK","properties":{"formattedCitation":"(Royal, 2007)","plainCitation":"(Royal, 2007)","noteIndex":0},"citationItems":[{"id":98,"uris":["http://zotero.org/users/local/Qseh2Ukg/items/7EL4HGHB"],"itemData":{"id":98,"type":"webpage","abstract":"Do you have excellent conflict resolution and strategic thinking skills? Then a career as a relationship manager is suitable for you. As a relationship manager, you communicate with people within or outside the company to establish lasting commercial relationships. You resolve customer complaints and identify key organisational personnel with whom to cultivate relationships. You work in various industries, including financial services, technology companies and marketing agencies.","container-title":"TeAra","language":"en","title":"Kaitiakitanga – guardianship and conservation","URL":"https://teara.govt.nz/en/kaitiakitanga-guardianship-and-conservation/print","author":[{"family":"Royal","given":"Charles"}],"accessed":{"date-parts":[["2024",10,25]]},"issued":{"date-parts":[["2007",9,24]]}}}],"schema":"https://github.com/citation-style-language/schema/raw/master/csl-citation.json"} </w:instrText>
            </w:r>
            <w:r w:rsidR="001F1A4B">
              <w:rPr>
                <w:rFonts w:ascii="Times New Roman" w:hAnsi="Times New Roman" w:cs="Times New Roman"/>
              </w:rPr>
              <w:fldChar w:fldCharType="separate"/>
            </w:r>
            <w:r w:rsidR="001D0DB1">
              <w:rPr>
                <w:rFonts w:ascii="Times New Roman" w:hAnsi="Times New Roman" w:cs="Times New Roman"/>
                <w:noProof/>
              </w:rPr>
              <w:t>(Royal, 2007)</w:t>
            </w:r>
            <w:r w:rsidR="001F1A4B">
              <w:rPr>
                <w:rFonts w:ascii="Times New Roman" w:hAnsi="Times New Roman" w:cs="Times New Roman"/>
              </w:rPr>
              <w:fldChar w:fldCharType="end"/>
            </w:r>
            <w:r>
              <w:rPr>
                <w:rFonts w:ascii="Times New Roman" w:hAnsi="Times New Roman" w:cs="Times New Roman"/>
              </w:rPr>
              <w:t>.</w:t>
            </w:r>
          </w:p>
          <w:p w14:paraId="72954127" w14:textId="77777777" w:rsidR="009F3B4B" w:rsidRDefault="009F3B4B" w:rsidP="009F3B4B"/>
          <w:p w14:paraId="75689F11" w14:textId="5BF17655" w:rsidR="009F3B4B" w:rsidRDefault="009F3B4B" w:rsidP="009F3B4B"/>
        </w:tc>
      </w:tr>
      <w:tr w:rsidR="00266B5B" w14:paraId="54746610" w14:textId="77777777" w:rsidTr="6069F33B">
        <w:trPr>
          <w:jc w:val="center"/>
        </w:trPr>
        <w:tc>
          <w:tcPr>
            <w:tcW w:w="2336" w:type="dxa"/>
            <w:vMerge/>
          </w:tcPr>
          <w:p w14:paraId="4BB23254" w14:textId="77777777" w:rsidR="00266B5B" w:rsidRDefault="00266B5B" w:rsidP="00CB6093"/>
        </w:tc>
        <w:tc>
          <w:tcPr>
            <w:tcW w:w="2336" w:type="dxa"/>
            <w:vAlign w:val="center"/>
          </w:tcPr>
          <w:p w14:paraId="0E419663" w14:textId="77777777" w:rsidR="00CB6093" w:rsidRDefault="00CB6093" w:rsidP="00CB6093">
            <w:pPr>
              <w:rPr>
                <w:lang w:val="en-US"/>
              </w:rPr>
            </w:pPr>
          </w:p>
          <w:p w14:paraId="05330D97" w14:textId="1A0599C3" w:rsidR="00266B5B" w:rsidRDefault="00266B5B" w:rsidP="00CB6093">
            <w:pPr>
              <w:rPr>
                <w:lang w:val="en-US"/>
              </w:rPr>
            </w:pPr>
            <w:r>
              <w:rPr>
                <w:lang w:val="en-US"/>
              </w:rPr>
              <w:t xml:space="preserve">Māori Value 3: </w:t>
            </w:r>
            <w:proofErr w:type="spellStart"/>
            <w:r w:rsidR="00B56C3C">
              <w:rPr>
                <w:lang w:val="en-US"/>
              </w:rPr>
              <w:t>Manaakitanga</w:t>
            </w:r>
            <w:proofErr w:type="spellEnd"/>
          </w:p>
          <w:p w14:paraId="129D011F" w14:textId="25CE5ABB" w:rsidR="00266B5B" w:rsidRPr="00E7532C" w:rsidRDefault="00266B5B" w:rsidP="00CB6093">
            <w:pPr>
              <w:rPr>
                <w:lang w:val="en-US"/>
              </w:rPr>
            </w:pPr>
          </w:p>
        </w:tc>
        <w:tc>
          <w:tcPr>
            <w:tcW w:w="2354" w:type="dxa"/>
            <w:vAlign w:val="center"/>
          </w:tcPr>
          <w:p w14:paraId="645438B1" w14:textId="2F0AB5E5" w:rsidR="00266B5B" w:rsidRPr="00B56C3C" w:rsidRDefault="00B56C3C" w:rsidP="00B56C3C">
            <w:pPr>
              <w:pStyle w:val="ListParagraph"/>
              <w:numPr>
                <w:ilvl w:val="0"/>
                <w:numId w:val="28"/>
              </w:numPr>
              <w:rPr>
                <w:lang w:val="en-US"/>
              </w:rPr>
            </w:pPr>
            <w:r>
              <w:rPr>
                <w:lang w:val="en-US"/>
              </w:rPr>
              <w:t>Respect and Dignity</w:t>
            </w:r>
          </w:p>
          <w:p w14:paraId="1171C118" w14:textId="77777777" w:rsidR="00DC4A6D" w:rsidRDefault="00DC4A6D" w:rsidP="002519D7">
            <w:pPr>
              <w:pStyle w:val="ListParagraph"/>
              <w:numPr>
                <w:ilvl w:val="0"/>
                <w:numId w:val="0"/>
              </w:numPr>
              <w:ind w:left="457"/>
              <w:rPr>
                <w:lang w:val="en-US"/>
              </w:rPr>
            </w:pPr>
          </w:p>
          <w:p w14:paraId="066C07FB" w14:textId="77777777" w:rsidR="00DC4A6D" w:rsidRDefault="00DC4A6D" w:rsidP="002519D7">
            <w:pPr>
              <w:pStyle w:val="ListParagraph"/>
              <w:numPr>
                <w:ilvl w:val="0"/>
                <w:numId w:val="0"/>
              </w:numPr>
              <w:ind w:left="457"/>
              <w:rPr>
                <w:lang w:val="en-US"/>
              </w:rPr>
            </w:pPr>
          </w:p>
          <w:p w14:paraId="17A042F3" w14:textId="4876783E" w:rsidR="00DC4A6D" w:rsidRPr="003B73E5" w:rsidRDefault="00DC4A6D" w:rsidP="002519D7">
            <w:pPr>
              <w:pStyle w:val="ListParagraph"/>
              <w:numPr>
                <w:ilvl w:val="0"/>
                <w:numId w:val="0"/>
              </w:numPr>
              <w:ind w:left="457"/>
              <w:rPr>
                <w:lang w:val="en-US"/>
              </w:rPr>
            </w:pPr>
          </w:p>
        </w:tc>
        <w:tc>
          <w:tcPr>
            <w:tcW w:w="7003" w:type="dxa"/>
          </w:tcPr>
          <w:p w14:paraId="1607E605" w14:textId="6D389848" w:rsidR="00CB0EE2" w:rsidRDefault="001D0DB1" w:rsidP="00CB0EE2">
            <w:pPr>
              <w:pStyle w:val="ListParagraph"/>
              <w:numPr>
                <w:ilvl w:val="0"/>
                <w:numId w:val="22"/>
              </w:numPr>
              <w:rPr>
                <w:rFonts w:ascii="Times New Roman" w:hAnsi="Times New Roman" w:cs="Times New Roman"/>
              </w:rPr>
            </w:pPr>
            <w:r>
              <w:rPr>
                <w:rFonts w:ascii="Times New Roman" w:hAnsi="Times New Roman" w:cs="Times New Roman"/>
              </w:rPr>
              <w:fldChar w:fldCharType="begin"/>
            </w:r>
            <w:r w:rsidR="000D339D">
              <w:rPr>
                <w:rFonts w:ascii="Times New Roman" w:hAnsi="Times New Roman" w:cs="Times New Roman"/>
              </w:rPr>
              <w:instrText xml:space="preserve"> ADDIN ZOTERO_ITEM CSL_CITATION {"citationID":"pVwHnfMc","properties":{"formattedCitation":"(Bennett et al., 2018)","plainCitation":"(Bennett et al., 2018)","noteIndex":0},"citationItems":[{"id":99,"uris":["http://zotero.org/users/local/Qseh2Ukg/items/CBRY84UY"],"itemData":{"id":99,"type":"article-journal","container-title":"Environmental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Pr>
                <w:rFonts w:ascii="Times New Roman" w:hAnsi="Times New Roman" w:cs="Times New Roman"/>
              </w:rPr>
              <w:fldChar w:fldCharType="separate"/>
            </w:r>
            <w:r w:rsidR="000D339D">
              <w:rPr>
                <w:rFonts w:ascii="Times New Roman" w:hAnsi="Times New Roman" w:cs="Times New Roman"/>
                <w:noProof/>
              </w:rPr>
              <w:t>(Bennett et al., 2018)</w:t>
            </w:r>
            <w:r>
              <w:rPr>
                <w:rFonts w:ascii="Times New Roman" w:hAnsi="Times New Roman" w:cs="Times New Roman"/>
              </w:rPr>
              <w:fldChar w:fldCharType="end"/>
            </w:r>
            <w:r w:rsidR="00CB0EE2" w:rsidRPr="00CB0EE2">
              <w:rPr>
                <w:rFonts w:ascii="Times New Roman" w:hAnsi="Times New Roman" w:cs="Times New Roman"/>
              </w:rPr>
              <w:t>. As a PD in KML, the PD can incorporate this by first, communicating or asking for feedback from the employees on how the PD can make their well-being better in the workplace. Second, acknowledging what the local Iwi knows about the Mahia Peninsula and trusting their knowledge and skills will be crucial for this project. Third, recruit skilled workers that resides at Mahia Peninsula to capitalise on their knowledge.</w:t>
            </w:r>
          </w:p>
          <w:p w14:paraId="2BA6BAF9" w14:textId="426ADA7A" w:rsidR="00CB0EE2" w:rsidRPr="00CB0EE2" w:rsidRDefault="00CB0EE2" w:rsidP="00CB0EE2">
            <w:pPr>
              <w:rPr>
                <w:rFonts w:ascii="Times New Roman" w:hAnsi="Times New Roman" w:cs="Times New Roman"/>
              </w:rPr>
            </w:pPr>
          </w:p>
          <w:p w14:paraId="62F10C5E" w14:textId="48101692" w:rsidR="00695F8C" w:rsidRPr="00CB0EE2" w:rsidRDefault="00695F8C" w:rsidP="00CB0EE2">
            <w:pPr>
              <w:ind w:left="1080" w:hanging="360"/>
              <w:rPr>
                <w:lang w:val="en-US"/>
              </w:rPr>
            </w:pPr>
          </w:p>
        </w:tc>
      </w:tr>
    </w:tbl>
    <w:p w14:paraId="107C4D94" w14:textId="77777777" w:rsidR="003358F7" w:rsidRDefault="003358F7">
      <w:r>
        <w:br w:type="page"/>
      </w:r>
    </w:p>
    <w:tbl>
      <w:tblPr>
        <w:tblStyle w:val="TableGrid"/>
        <w:tblpPr w:leftFromText="180" w:rightFromText="180" w:vertAnchor="text" w:tblpXSpec="center" w:tblpY="1"/>
        <w:tblOverlap w:val="never"/>
        <w:tblW w:w="13745" w:type="dxa"/>
        <w:jc w:val="center"/>
        <w:tblLook w:val="04A0" w:firstRow="1" w:lastRow="0" w:firstColumn="1" w:lastColumn="0" w:noHBand="0" w:noVBand="1"/>
      </w:tblPr>
      <w:tblGrid>
        <w:gridCol w:w="2591"/>
        <w:gridCol w:w="1940"/>
        <w:gridCol w:w="4111"/>
        <w:gridCol w:w="5103"/>
      </w:tblGrid>
      <w:tr w:rsidR="003358F7" w14:paraId="4F9239B4" w14:textId="77777777" w:rsidTr="00CB6093">
        <w:trPr>
          <w:jc w:val="center"/>
        </w:trPr>
        <w:tc>
          <w:tcPr>
            <w:tcW w:w="2591" w:type="dxa"/>
            <w:shd w:val="clear" w:color="auto" w:fill="808080" w:themeFill="background1" w:themeFillShade="80"/>
          </w:tcPr>
          <w:p w14:paraId="0BB8F179" w14:textId="77777777" w:rsidR="003358F7" w:rsidRPr="007454BB" w:rsidRDefault="003358F7" w:rsidP="00CB6093">
            <w:pPr>
              <w:jc w:val="center"/>
              <w:rPr>
                <w:color w:val="FFFFFF" w:themeColor="background1"/>
                <w:sz w:val="32"/>
                <w:szCs w:val="32"/>
                <w:lang w:val="en-US"/>
              </w:rPr>
            </w:pPr>
            <w:r w:rsidRPr="007454BB">
              <w:rPr>
                <w:color w:val="FFFFFF" w:themeColor="background1"/>
                <w:sz w:val="32"/>
                <w:szCs w:val="32"/>
                <w:lang w:val="en-US"/>
              </w:rPr>
              <w:lastRenderedPageBreak/>
              <w:t>CSR Issue</w:t>
            </w:r>
          </w:p>
        </w:tc>
        <w:tc>
          <w:tcPr>
            <w:tcW w:w="1940" w:type="dxa"/>
            <w:shd w:val="clear" w:color="auto" w:fill="808080" w:themeFill="background1" w:themeFillShade="80"/>
          </w:tcPr>
          <w:p w14:paraId="5114661B" w14:textId="77777777" w:rsidR="003358F7" w:rsidRPr="007454BB" w:rsidRDefault="003358F7" w:rsidP="00CB6093">
            <w:pPr>
              <w:jc w:val="center"/>
              <w:rPr>
                <w:color w:val="FFFFFF" w:themeColor="background1"/>
                <w:sz w:val="32"/>
                <w:szCs w:val="32"/>
                <w:lang w:val="en-US"/>
              </w:rPr>
            </w:pPr>
            <w:r w:rsidRPr="007454BB">
              <w:rPr>
                <w:color w:val="FFFFFF" w:themeColor="background1"/>
                <w:sz w:val="32"/>
                <w:szCs w:val="32"/>
                <w:lang w:val="en-US"/>
              </w:rPr>
              <w:t>Stakeholders</w:t>
            </w:r>
          </w:p>
        </w:tc>
        <w:tc>
          <w:tcPr>
            <w:tcW w:w="4111" w:type="dxa"/>
            <w:shd w:val="clear" w:color="auto" w:fill="808080" w:themeFill="background1" w:themeFillShade="80"/>
          </w:tcPr>
          <w:p w14:paraId="169DE7A9" w14:textId="4BBAEA3C" w:rsidR="003358F7" w:rsidRPr="007454BB" w:rsidRDefault="007702C7" w:rsidP="00CB6093">
            <w:pPr>
              <w:jc w:val="center"/>
              <w:rPr>
                <w:color w:val="FFFFFF" w:themeColor="background1"/>
                <w:sz w:val="32"/>
                <w:szCs w:val="32"/>
                <w:lang w:val="en-US"/>
              </w:rPr>
            </w:pPr>
            <w:r w:rsidRPr="00F26648">
              <w:rPr>
                <w:color w:val="FFFF00"/>
                <w:sz w:val="32"/>
                <w:szCs w:val="32"/>
                <w:lang w:val="en-US"/>
              </w:rPr>
              <w:t>*</w:t>
            </w:r>
            <w:r w:rsidR="003358F7" w:rsidRPr="007454BB">
              <w:rPr>
                <w:color w:val="FFFFFF" w:themeColor="background1"/>
                <w:sz w:val="32"/>
                <w:szCs w:val="32"/>
                <w:lang w:val="en-US"/>
              </w:rPr>
              <w:t>Stakeholder’s Expectations</w:t>
            </w:r>
          </w:p>
        </w:tc>
        <w:tc>
          <w:tcPr>
            <w:tcW w:w="5103" w:type="dxa"/>
            <w:shd w:val="clear" w:color="auto" w:fill="808080" w:themeFill="background1" w:themeFillShade="80"/>
          </w:tcPr>
          <w:p w14:paraId="42CD0DAB" w14:textId="2FB025B3" w:rsidR="003358F7" w:rsidRPr="007454BB" w:rsidRDefault="007702C7" w:rsidP="00CB6093">
            <w:pPr>
              <w:jc w:val="center"/>
              <w:rPr>
                <w:color w:val="FFFFFF" w:themeColor="background1"/>
                <w:sz w:val="32"/>
                <w:szCs w:val="32"/>
                <w:lang w:val="en-US"/>
              </w:rPr>
            </w:pPr>
            <w:r w:rsidRPr="00F26648">
              <w:rPr>
                <w:color w:val="FFFF00"/>
                <w:sz w:val="32"/>
                <w:szCs w:val="32"/>
                <w:lang w:val="en-US"/>
              </w:rPr>
              <w:t>*</w:t>
            </w:r>
            <w:r w:rsidR="003358F7" w:rsidRPr="007454BB">
              <w:rPr>
                <w:color w:val="FFFFFF" w:themeColor="background1"/>
                <w:sz w:val="32"/>
                <w:szCs w:val="32"/>
                <w:lang w:val="en-US"/>
              </w:rPr>
              <w:t>How the issue meets stakeholders’ expectations</w:t>
            </w:r>
            <w:r w:rsidR="00F26648">
              <w:rPr>
                <w:color w:val="FFFFFF" w:themeColor="background1"/>
                <w:sz w:val="32"/>
                <w:szCs w:val="32"/>
                <w:lang w:val="en-US"/>
              </w:rPr>
              <w:t xml:space="preserve"> within the KML context</w:t>
            </w:r>
          </w:p>
        </w:tc>
      </w:tr>
      <w:tr w:rsidR="00884B14" w14:paraId="72495053" w14:textId="77777777" w:rsidTr="00CB6093">
        <w:trPr>
          <w:jc w:val="center"/>
        </w:trPr>
        <w:tc>
          <w:tcPr>
            <w:tcW w:w="2591" w:type="dxa"/>
            <w:vMerge w:val="restart"/>
            <w:shd w:val="clear" w:color="auto" w:fill="808080" w:themeFill="background1" w:themeFillShade="80"/>
            <w:vAlign w:val="center"/>
          </w:tcPr>
          <w:p w14:paraId="37BC8D67" w14:textId="2D3C7E11" w:rsidR="00884B14" w:rsidRPr="007454BB" w:rsidRDefault="005462EB" w:rsidP="00CB6093">
            <w:pPr>
              <w:pStyle w:val="ListParagraph"/>
              <w:numPr>
                <w:ilvl w:val="0"/>
                <w:numId w:val="3"/>
              </w:numPr>
              <w:rPr>
                <w:color w:val="FFFFFF" w:themeColor="background1"/>
                <w:sz w:val="28"/>
                <w:szCs w:val="28"/>
              </w:rPr>
            </w:pPr>
            <w:r>
              <w:rPr>
                <w:color w:val="FFFFFF" w:themeColor="background1"/>
                <w:sz w:val="28"/>
                <w:szCs w:val="28"/>
                <w:lang w:val="en-US"/>
              </w:rPr>
              <w:t>CSR Issue 1:</w:t>
            </w:r>
            <w:r w:rsidR="002A35CF">
              <w:rPr>
                <w:color w:val="FFFFFF" w:themeColor="background1"/>
                <w:sz w:val="28"/>
                <w:szCs w:val="28"/>
                <w:lang w:val="en-US"/>
              </w:rPr>
              <w:t xml:space="preserve"> Environmental Impact</w:t>
            </w:r>
          </w:p>
        </w:tc>
        <w:tc>
          <w:tcPr>
            <w:tcW w:w="1940" w:type="dxa"/>
            <w:vAlign w:val="center"/>
          </w:tcPr>
          <w:p w14:paraId="78A2FB90" w14:textId="06A596C8" w:rsidR="00884B14" w:rsidRDefault="00DB3CB3" w:rsidP="002519D7">
            <w:pPr>
              <w:pStyle w:val="ListParagraph"/>
              <w:numPr>
                <w:ilvl w:val="0"/>
                <w:numId w:val="14"/>
              </w:numPr>
              <w:ind w:left="419"/>
              <w:rPr>
                <w:lang w:val="en-US"/>
              </w:rPr>
            </w:pPr>
            <w:r>
              <w:rPr>
                <w:lang w:val="en-US"/>
              </w:rPr>
              <w:t>Local Iwi</w:t>
            </w:r>
          </w:p>
          <w:p w14:paraId="1EFCBCEA" w14:textId="4E73DA3F" w:rsidR="00DC4A6D" w:rsidRPr="004B71B1" w:rsidRDefault="00DC4A6D" w:rsidP="004B71B1">
            <w:pPr>
              <w:ind w:left="59"/>
              <w:rPr>
                <w:lang w:val="en-US"/>
              </w:rPr>
            </w:pPr>
          </w:p>
          <w:p w14:paraId="5789682E" w14:textId="72F065A1" w:rsidR="00DC4A6D" w:rsidRPr="003358F7" w:rsidRDefault="00DC4A6D" w:rsidP="002519D7">
            <w:pPr>
              <w:ind w:left="419"/>
              <w:rPr>
                <w:lang w:val="en-US"/>
              </w:rPr>
            </w:pPr>
          </w:p>
        </w:tc>
        <w:tc>
          <w:tcPr>
            <w:tcW w:w="4111" w:type="dxa"/>
          </w:tcPr>
          <w:p w14:paraId="4D6E9CA7" w14:textId="32BBF31E" w:rsidR="00884B14" w:rsidRPr="002519D7" w:rsidRDefault="00DB3CB3" w:rsidP="002519D7">
            <w:pPr>
              <w:pStyle w:val="ListParagraph"/>
              <w:numPr>
                <w:ilvl w:val="0"/>
                <w:numId w:val="15"/>
              </w:numPr>
              <w:ind w:left="318"/>
              <w:rPr>
                <w:lang w:val="en-US"/>
              </w:rPr>
            </w:pPr>
            <w:r>
              <w:rPr>
                <w:lang w:val="en-US"/>
              </w:rPr>
              <w:t>Should be able to minimize environmental impacts</w:t>
            </w:r>
            <w:r w:rsidR="004B71B1">
              <w:rPr>
                <w:lang w:val="en-US"/>
              </w:rPr>
              <w:t xml:space="preserve"> on the Iwi’s land and water</w:t>
            </w:r>
          </w:p>
        </w:tc>
        <w:tc>
          <w:tcPr>
            <w:tcW w:w="5103" w:type="dxa"/>
          </w:tcPr>
          <w:p w14:paraId="277C9ABF" w14:textId="468D98C4" w:rsidR="00884B14" w:rsidRPr="002519D7" w:rsidRDefault="006046F4" w:rsidP="002519D7">
            <w:pPr>
              <w:pStyle w:val="ListParagraph"/>
              <w:numPr>
                <w:ilvl w:val="1"/>
                <w:numId w:val="15"/>
              </w:numPr>
              <w:ind w:left="454"/>
              <w:rPr>
                <w:lang w:val="en-US"/>
              </w:rPr>
            </w:pPr>
            <w:r>
              <w:rPr>
                <w:lang w:val="en-US"/>
              </w:rPr>
              <w:t xml:space="preserve">The KML also must start initiatives </w:t>
            </w:r>
            <w:r w:rsidR="00707781">
              <w:rPr>
                <w:lang w:val="en-US"/>
              </w:rPr>
              <w:t xml:space="preserve">for the benefit of the community and the local Iwi such as community gardening, tree planting, shellfish re-introductions, invasive species removal, conservation of soil, water, and green </w:t>
            </w:r>
            <w:r w:rsidR="00326EC6">
              <w:rPr>
                <w:lang w:val="en-US"/>
              </w:rPr>
              <w:t xml:space="preserve">spaces </w:t>
            </w:r>
            <w:r w:rsidR="00326EC6" w:rsidRPr="00707781">
              <w:t>(</w:t>
            </w:r>
            <w:r w:rsidR="00707781" w:rsidRPr="00707781">
              <w:t>Krasny and Tidball 2012; Connolly et al. 2014; Krasny et al. 2015</w:t>
            </w:r>
            <w:r w:rsidR="00707781">
              <w:t>; as cited in</w:t>
            </w:r>
            <w:r w:rsidR="0085319B">
              <w:t xml:space="preserve"> </w:t>
            </w:r>
            <w:r w:rsidR="0085319B">
              <w:fldChar w:fldCharType="begin"/>
            </w:r>
            <w:r w:rsidR="000D339D">
              <w:instrText xml:space="preserve"> ADDIN ZOTERO_ITEM CSL_CITATION {"citationID":"WCTZ07El","properties":{"formattedCitation":"(Bennett et al., 2024)","plainCitation":"(Bennett et al., 2024)","dontUpdate":true,"noteIndex":0},"citationItems":[{"id":99,"uris":["http://zotero.org/users/local/Qseh2Ukg/items/CBRY84UY"],"itemData":{"id":99,"type":"article-journal","container-title":"Environmental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85319B">
              <w:fldChar w:fldCharType="separate"/>
            </w:r>
            <w:r w:rsidR="0085319B">
              <w:rPr>
                <w:noProof/>
              </w:rPr>
              <w:t>Bennett et al., 2024)</w:t>
            </w:r>
            <w:r w:rsidR="0085319B">
              <w:fldChar w:fldCharType="end"/>
            </w:r>
          </w:p>
        </w:tc>
      </w:tr>
      <w:tr w:rsidR="00884B14" w14:paraId="2F1B1AB4" w14:textId="77777777" w:rsidTr="00CB6093">
        <w:trPr>
          <w:jc w:val="center"/>
        </w:trPr>
        <w:tc>
          <w:tcPr>
            <w:tcW w:w="2591" w:type="dxa"/>
            <w:vMerge/>
            <w:shd w:val="clear" w:color="auto" w:fill="808080" w:themeFill="background1" w:themeFillShade="80"/>
            <w:vAlign w:val="center"/>
          </w:tcPr>
          <w:p w14:paraId="019B702D" w14:textId="77777777" w:rsidR="00884B14" w:rsidRPr="007454BB" w:rsidRDefault="00884B14" w:rsidP="00CB6093">
            <w:pPr>
              <w:pStyle w:val="ListParagraph"/>
              <w:numPr>
                <w:ilvl w:val="0"/>
                <w:numId w:val="0"/>
              </w:numPr>
              <w:ind w:left="720"/>
              <w:rPr>
                <w:color w:val="FFFFFF" w:themeColor="background1"/>
                <w:sz w:val="28"/>
                <w:szCs w:val="28"/>
                <w:lang w:val="en-US"/>
              </w:rPr>
            </w:pPr>
          </w:p>
        </w:tc>
        <w:tc>
          <w:tcPr>
            <w:tcW w:w="1940" w:type="dxa"/>
            <w:vAlign w:val="center"/>
          </w:tcPr>
          <w:p w14:paraId="432B10BD" w14:textId="22AB5292" w:rsidR="00DC4A6D" w:rsidRDefault="004B71B1" w:rsidP="004B71B1">
            <w:pPr>
              <w:pStyle w:val="ListParagraph"/>
              <w:numPr>
                <w:ilvl w:val="0"/>
                <w:numId w:val="14"/>
              </w:numPr>
              <w:ind w:left="419"/>
              <w:rPr>
                <w:lang w:val="en-US"/>
              </w:rPr>
            </w:pPr>
            <w:r>
              <w:rPr>
                <w:lang w:val="en-US"/>
              </w:rPr>
              <w:t>Department of Conservation</w:t>
            </w:r>
          </w:p>
        </w:tc>
        <w:tc>
          <w:tcPr>
            <w:tcW w:w="4111" w:type="dxa"/>
          </w:tcPr>
          <w:p w14:paraId="662E0ACF" w14:textId="5D90FF77" w:rsidR="00884B14" w:rsidRPr="002519D7" w:rsidRDefault="004B71B1" w:rsidP="002519D7">
            <w:pPr>
              <w:pStyle w:val="ListParagraph"/>
              <w:numPr>
                <w:ilvl w:val="0"/>
                <w:numId w:val="15"/>
              </w:numPr>
              <w:ind w:left="318"/>
              <w:rPr>
                <w:lang w:val="en-US"/>
              </w:rPr>
            </w:pPr>
            <w:r>
              <w:rPr>
                <w:lang w:val="en-US"/>
              </w:rPr>
              <w:t xml:space="preserve">Should be able to minimize environmental impact in </w:t>
            </w:r>
            <w:proofErr w:type="spellStart"/>
            <w:r>
              <w:rPr>
                <w:lang w:val="en-US"/>
              </w:rPr>
              <w:t>DoC</w:t>
            </w:r>
            <w:proofErr w:type="spellEnd"/>
            <w:r>
              <w:rPr>
                <w:lang w:val="en-US"/>
              </w:rPr>
              <w:t xml:space="preserve"> land</w:t>
            </w:r>
          </w:p>
        </w:tc>
        <w:tc>
          <w:tcPr>
            <w:tcW w:w="5103" w:type="dxa"/>
          </w:tcPr>
          <w:p w14:paraId="0F619EF0" w14:textId="20B72950" w:rsidR="00884B14" w:rsidRPr="002519D7" w:rsidRDefault="00045958" w:rsidP="002519D7">
            <w:pPr>
              <w:pStyle w:val="ListParagraph"/>
              <w:numPr>
                <w:ilvl w:val="0"/>
                <w:numId w:val="15"/>
              </w:numPr>
              <w:ind w:left="454"/>
              <w:rPr>
                <w:lang w:val="en-US"/>
              </w:rPr>
            </w:pPr>
            <w:r>
              <w:rPr>
                <w:lang w:val="en-US"/>
              </w:rPr>
              <w:t xml:space="preserve">The </w:t>
            </w:r>
            <w:r w:rsidR="003D7C95">
              <w:rPr>
                <w:lang w:val="en-US"/>
              </w:rPr>
              <w:t>KML</w:t>
            </w:r>
            <w:r>
              <w:rPr>
                <w:lang w:val="en-US"/>
              </w:rPr>
              <w:t xml:space="preserve"> must coordinate with the </w:t>
            </w:r>
            <w:proofErr w:type="spellStart"/>
            <w:r>
              <w:rPr>
                <w:lang w:val="en-US"/>
              </w:rPr>
              <w:t>DoC</w:t>
            </w:r>
            <w:proofErr w:type="spellEnd"/>
            <w:r>
              <w:rPr>
                <w:lang w:val="en-US"/>
              </w:rPr>
              <w:t xml:space="preserve"> in terms of </w:t>
            </w:r>
            <w:r w:rsidR="00886263">
              <w:rPr>
                <w:lang w:val="en-US"/>
              </w:rPr>
              <w:t>bird’s preservation</w:t>
            </w:r>
            <w:r w:rsidR="000D339D">
              <w:rPr>
                <w:lang w:val="en-US"/>
              </w:rPr>
              <w:t xml:space="preserve"> </w:t>
            </w:r>
            <w:r w:rsidR="000D339D">
              <w:rPr>
                <w:lang w:val="en-US"/>
              </w:rPr>
              <w:fldChar w:fldCharType="begin"/>
            </w:r>
            <w:r w:rsidR="000D339D">
              <w:rPr>
                <w:lang w:val="en-US"/>
              </w:rPr>
              <w:instrText xml:space="preserve"> ADDIN ZOTERO_ITEM CSL_CITATION {"citationID":"AemS8ujn","properties":{"formattedCitation":"(Robertson et al., 2021)","plainCitation":"(Robertson et al., 2021)","noteIndex":0},"citationItems":[{"id":101,"uris":["http://zotero.org/users/local/Qseh2Ukg/items/SIR4YCVH"],"itemData":{"id":101,"type":"book","publisher":"New Zealand: Department of Conservation, Te Papa Atawhai.","title":"Conservation status of birds in Aotearoa New Zealand, 2021","author":[{"family":"Robertson","given":"Hugh"},{"family":"Baird","given":"Karen"},{"family":"Elliott","given":"Graeme"},{"family":"Hitchmough","given":"Rodney"},{"family":"McArthur","given":"Nikki"},{"family":"Makan","given":"Troy"},{"family":"Miskelly","given":"Colin"}],"issued":{"date-parts":[["2021",12]]}}}],"schema":"https://github.com/citation-style-language/schema/raw/master/csl-citation.json"} </w:instrText>
            </w:r>
            <w:r w:rsidR="000D339D">
              <w:rPr>
                <w:lang w:val="en-US"/>
              </w:rPr>
              <w:fldChar w:fldCharType="separate"/>
            </w:r>
            <w:r w:rsidR="000D339D">
              <w:rPr>
                <w:noProof/>
                <w:lang w:val="en-US"/>
              </w:rPr>
              <w:t>(Robertson et al., 2021)</w:t>
            </w:r>
            <w:r w:rsidR="000D339D">
              <w:rPr>
                <w:lang w:val="en-US"/>
              </w:rPr>
              <w:fldChar w:fldCharType="end"/>
            </w:r>
            <w:r w:rsidR="00886263">
              <w:rPr>
                <w:lang w:val="en-US"/>
              </w:rPr>
              <w:t>.</w:t>
            </w:r>
            <w:r w:rsidR="003D7C95">
              <w:rPr>
                <w:lang w:val="en-US"/>
              </w:rPr>
              <w:t xml:space="preserve"> The KML also must start initiatives in protecting and conservation of the environment, which includes replanting trees, restoring degraded areas, converting to more sustainable </w:t>
            </w:r>
            <w:r w:rsidR="005D7BEA">
              <w:rPr>
                <w:lang w:val="en-US"/>
              </w:rPr>
              <w:t xml:space="preserve">use and management of resources </w:t>
            </w:r>
            <w:r w:rsidR="00402E29">
              <w:rPr>
                <w:lang w:val="en-US"/>
              </w:rPr>
              <w:t>(</w:t>
            </w:r>
            <w:r w:rsidR="00402E29">
              <w:fldChar w:fldCharType="begin"/>
            </w:r>
            <w:r w:rsidR="000D339D">
              <w:instrText xml:space="preserve"> ADDIN ZOTERO_ITEM CSL_CITATION {"citationID":"htQj7Ijs","properties":{"formattedCitation":"(Bennett et al., 2024)","plainCitation":"(Bennett et al., 2024)","dontUpdate":true,"noteIndex":0},"citationItems":[{"id":99,"uris":["http://zotero.org/users/local/Qseh2Ukg/items/CBRY84UY"],"itemData":{"id":99,"type":"article-journal","container-title":"Environmental management","DOI":"10.1023/A:1021838618750","issue":"1","journalAbbreviation":"Environmental management","page":"597-614","title":"Environmental Stewardship: A Conceptual Review and Analytical Framework","volume":"61","author":[{"family":"Bennett","given":"Nathan"},{"family":"Whitty","given":"Tara"},{"family":"Finkbeiner","given":"Elena"},{"family":"Pittman","given":"Jeremy"},{"family":"Bassett","given":"Hannah"},{"family":"Gelcich","given":"Stefan"},{"family":"Allison","given":"Edward"}],"issued":{"date-parts":[["2018",1,31]]}}}],"schema":"https://github.com/citation-style-language/schema/raw/master/csl-citation.json"} </w:instrText>
            </w:r>
            <w:r w:rsidR="00402E29">
              <w:fldChar w:fldCharType="separate"/>
            </w:r>
            <w:r w:rsidR="00402E29">
              <w:rPr>
                <w:noProof/>
              </w:rPr>
              <w:t>Bennett et al., 2024)</w:t>
            </w:r>
            <w:r w:rsidR="00402E29">
              <w:fldChar w:fldCharType="end"/>
            </w:r>
          </w:p>
        </w:tc>
      </w:tr>
      <w:tr w:rsidR="00884B14" w14:paraId="3CBA3FDA" w14:textId="77777777" w:rsidTr="00CB6093">
        <w:trPr>
          <w:jc w:val="center"/>
        </w:trPr>
        <w:tc>
          <w:tcPr>
            <w:tcW w:w="2591" w:type="dxa"/>
            <w:vMerge/>
            <w:shd w:val="clear" w:color="auto" w:fill="808080" w:themeFill="background1" w:themeFillShade="80"/>
            <w:vAlign w:val="center"/>
          </w:tcPr>
          <w:p w14:paraId="3DDC4A1A" w14:textId="77777777" w:rsidR="00884B14" w:rsidRPr="007454BB" w:rsidRDefault="00884B14" w:rsidP="00CB6093">
            <w:pPr>
              <w:rPr>
                <w:color w:val="FFFFFF" w:themeColor="background1"/>
                <w:sz w:val="28"/>
                <w:szCs w:val="28"/>
              </w:rPr>
            </w:pPr>
          </w:p>
        </w:tc>
        <w:tc>
          <w:tcPr>
            <w:tcW w:w="1940" w:type="dxa"/>
            <w:vAlign w:val="center"/>
          </w:tcPr>
          <w:p w14:paraId="435F5AA1" w14:textId="77777777" w:rsidR="00DC4A6D" w:rsidRDefault="00DC4A6D" w:rsidP="002519D7">
            <w:pPr>
              <w:ind w:left="419"/>
              <w:rPr>
                <w:lang w:val="en-US"/>
              </w:rPr>
            </w:pPr>
          </w:p>
          <w:p w14:paraId="471391B3" w14:textId="225297AE" w:rsidR="00DC4A6D" w:rsidRPr="003358F7" w:rsidRDefault="00DC4A6D" w:rsidP="002519D7">
            <w:pPr>
              <w:ind w:left="419"/>
              <w:rPr>
                <w:lang w:val="en-US"/>
              </w:rPr>
            </w:pPr>
          </w:p>
        </w:tc>
        <w:tc>
          <w:tcPr>
            <w:tcW w:w="4111" w:type="dxa"/>
          </w:tcPr>
          <w:p w14:paraId="54C95A17" w14:textId="03CB2632" w:rsidR="00884B14" w:rsidRPr="002519D7" w:rsidRDefault="00884B14" w:rsidP="002519D7">
            <w:pPr>
              <w:pStyle w:val="ListParagraph"/>
              <w:numPr>
                <w:ilvl w:val="0"/>
                <w:numId w:val="15"/>
              </w:numPr>
              <w:ind w:left="318"/>
              <w:rPr>
                <w:lang w:val="en-US"/>
              </w:rPr>
            </w:pPr>
          </w:p>
        </w:tc>
        <w:tc>
          <w:tcPr>
            <w:tcW w:w="5103" w:type="dxa"/>
          </w:tcPr>
          <w:p w14:paraId="4B920AEF" w14:textId="6482EDF0" w:rsidR="00884B14" w:rsidRPr="002519D7" w:rsidRDefault="00884B14" w:rsidP="002519D7">
            <w:pPr>
              <w:pStyle w:val="ListParagraph"/>
              <w:numPr>
                <w:ilvl w:val="0"/>
                <w:numId w:val="15"/>
              </w:numPr>
              <w:ind w:left="454"/>
              <w:rPr>
                <w:lang w:val="en-US"/>
              </w:rPr>
            </w:pPr>
          </w:p>
        </w:tc>
      </w:tr>
      <w:tr w:rsidR="000E5A46" w14:paraId="4F5F1563" w14:textId="77777777" w:rsidTr="00CB6093">
        <w:trPr>
          <w:jc w:val="center"/>
        </w:trPr>
        <w:tc>
          <w:tcPr>
            <w:tcW w:w="2591" w:type="dxa"/>
            <w:vMerge w:val="restart"/>
            <w:shd w:val="clear" w:color="auto" w:fill="808080" w:themeFill="background1" w:themeFillShade="80"/>
            <w:vAlign w:val="center"/>
          </w:tcPr>
          <w:p w14:paraId="50305D8B" w14:textId="1F497956" w:rsidR="000E5A46" w:rsidRPr="007454BB" w:rsidRDefault="005462EB" w:rsidP="00CB6093">
            <w:pPr>
              <w:pStyle w:val="ListParagraph"/>
              <w:numPr>
                <w:ilvl w:val="0"/>
                <w:numId w:val="3"/>
              </w:numPr>
              <w:rPr>
                <w:color w:val="FFFFFF" w:themeColor="background1"/>
                <w:sz w:val="28"/>
                <w:szCs w:val="28"/>
              </w:rPr>
            </w:pPr>
            <w:r>
              <w:rPr>
                <w:color w:val="FFFFFF" w:themeColor="background1"/>
                <w:sz w:val="28"/>
                <w:szCs w:val="28"/>
                <w:lang w:val="en-US"/>
              </w:rPr>
              <w:t xml:space="preserve">CSR Issue </w:t>
            </w:r>
            <w:r w:rsidR="00DC4A6D">
              <w:rPr>
                <w:color w:val="FFFFFF" w:themeColor="background1"/>
                <w:sz w:val="28"/>
                <w:szCs w:val="28"/>
                <w:lang w:val="en-US"/>
              </w:rPr>
              <w:t>2</w:t>
            </w:r>
            <w:r>
              <w:rPr>
                <w:color w:val="FFFFFF" w:themeColor="background1"/>
                <w:sz w:val="28"/>
                <w:szCs w:val="28"/>
                <w:lang w:val="en-US"/>
              </w:rPr>
              <w:t>:</w:t>
            </w:r>
            <w:r w:rsidR="002A35CF">
              <w:rPr>
                <w:color w:val="FFFFFF" w:themeColor="background1"/>
                <w:sz w:val="28"/>
                <w:szCs w:val="28"/>
                <w:lang w:val="en-US"/>
              </w:rPr>
              <w:t xml:space="preserve"> </w:t>
            </w:r>
            <w:r w:rsidR="00CD3C75">
              <w:rPr>
                <w:color w:val="FFFFFF" w:themeColor="background1"/>
                <w:sz w:val="28"/>
                <w:szCs w:val="28"/>
                <w:lang w:val="en-US"/>
              </w:rPr>
              <w:t>Stakeholder collaborations and partnerships</w:t>
            </w:r>
          </w:p>
        </w:tc>
        <w:tc>
          <w:tcPr>
            <w:tcW w:w="1940" w:type="dxa"/>
            <w:vAlign w:val="center"/>
          </w:tcPr>
          <w:p w14:paraId="2561031A" w14:textId="3BB712E2" w:rsidR="000E5A46" w:rsidRPr="002519D7" w:rsidRDefault="004B71B1" w:rsidP="002519D7">
            <w:pPr>
              <w:pStyle w:val="ListParagraph"/>
              <w:numPr>
                <w:ilvl w:val="0"/>
                <w:numId w:val="14"/>
              </w:numPr>
              <w:ind w:left="419"/>
              <w:rPr>
                <w:lang w:val="en-US"/>
              </w:rPr>
            </w:pPr>
            <w:r>
              <w:rPr>
                <w:lang w:val="en-US"/>
              </w:rPr>
              <w:t>Local Iwi</w:t>
            </w:r>
          </w:p>
          <w:p w14:paraId="6877C737" w14:textId="77777777" w:rsidR="00DC4A6D" w:rsidRDefault="00DC4A6D" w:rsidP="002519D7">
            <w:pPr>
              <w:ind w:left="419"/>
              <w:rPr>
                <w:lang w:val="en-US"/>
              </w:rPr>
            </w:pPr>
          </w:p>
          <w:p w14:paraId="6A81850B" w14:textId="4261B5C4" w:rsidR="00DC4A6D" w:rsidRPr="000C5774" w:rsidRDefault="00DC4A6D" w:rsidP="002519D7">
            <w:pPr>
              <w:ind w:left="419"/>
              <w:rPr>
                <w:lang w:val="en-US"/>
              </w:rPr>
            </w:pPr>
          </w:p>
        </w:tc>
        <w:tc>
          <w:tcPr>
            <w:tcW w:w="4111" w:type="dxa"/>
          </w:tcPr>
          <w:p w14:paraId="05D9F840" w14:textId="73774DF2" w:rsidR="000E5A46" w:rsidRPr="002519D7" w:rsidRDefault="005B1BA6" w:rsidP="002519D7">
            <w:pPr>
              <w:pStyle w:val="ListParagraph"/>
              <w:numPr>
                <w:ilvl w:val="0"/>
                <w:numId w:val="14"/>
              </w:numPr>
              <w:ind w:left="318"/>
              <w:rPr>
                <w:lang w:val="en-US"/>
              </w:rPr>
            </w:pPr>
            <w:r>
              <w:rPr>
                <w:lang w:val="en-US"/>
              </w:rPr>
              <w:t>Have employment opportunities and collaboration with KML</w:t>
            </w:r>
          </w:p>
        </w:tc>
        <w:tc>
          <w:tcPr>
            <w:tcW w:w="5103" w:type="dxa"/>
          </w:tcPr>
          <w:p w14:paraId="16156F64" w14:textId="64585A44" w:rsidR="000E5A46" w:rsidRPr="002519D7" w:rsidRDefault="00047B6B" w:rsidP="002519D7">
            <w:pPr>
              <w:pStyle w:val="ListParagraph"/>
              <w:numPr>
                <w:ilvl w:val="0"/>
                <w:numId w:val="14"/>
              </w:numPr>
              <w:ind w:left="454"/>
              <w:rPr>
                <w:lang w:val="en-US"/>
              </w:rPr>
            </w:pPr>
            <w:r>
              <w:rPr>
                <w:lang w:val="en-US"/>
              </w:rPr>
              <w:fldChar w:fldCharType="begin"/>
            </w:r>
            <w:r>
              <w:rPr>
                <w:lang w:val="en-US"/>
              </w:rPr>
              <w:instrText xml:space="preserve"> ADDIN ZOTERO_ITEM CSL_CITATION {"citationID":"jWlMHBRl","properties":{"formattedCitation":"(Rowe et al., 2015)","plainCitation":"(Rowe et al., 2015)","noteIndex":0},"citationItems":[{"id":102,"uris":["http://zotero.org/users/local/Qseh2Ukg/items/YYWEANSQ"],"itemData":{"id":102,"type":"article-journal","container-title":"New Zealand Geographer","DOI":"10.1023/A:1021838618750","issue":"3","page":"138-145","title":"Hawke’s Bay regional economic development strategy: The importance of stakeholder buy-in","volume":"71","author":[{"family":"Rowe","given":"James"},{"family":"Collits","given":"Paul"},{"family":"MacLeod","given":"Alasdair"}],"issued":{"date-parts":[["2015",12,14]]}}}],"schema":"https://github.com/citation-style-language/schema/raw/master/csl-citation.json"} </w:instrText>
            </w:r>
            <w:r>
              <w:rPr>
                <w:lang w:val="en-US"/>
              </w:rPr>
              <w:fldChar w:fldCharType="separate"/>
            </w:r>
            <w:r>
              <w:rPr>
                <w:noProof/>
                <w:lang w:val="en-US"/>
              </w:rPr>
              <w:t>(Rowe et al., 2015)</w:t>
            </w:r>
            <w:r>
              <w:rPr>
                <w:lang w:val="en-US"/>
              </w:rPr>
              <w:fldChar w:fldCharType="end"/>
            </w:r>
            <w:r>
              <w:rPr>
                <w:lang w:val="en-US"/>
              </w:rPr>
              <w:t xml:space="preserve">. </w:t>
            </w:r>
            <w:r w:rsidR="00070E2E">
              <w:rPr>
                <w:lang w:val="en-US"/>
              </w:rPr>
              <w:t xml:space="preserve">The KML must coordinate with Regional Economic Development to provide sustainable employment for the local </w:t>
            </w:r>
            <w:r w:rsidR="00976AB9">
              <w:rPr>
                <w:lang w:val="en-US"/>
              </w:rPr>
              <w:t>Iwi residing in</w:t>
            </w:r>
            <w:r w:rsidR="00070E2E">
              <w:rPr>
                <w:lang w:val="en-US"/>
              </w:rPr>
              <w:t xml:space="preserve"> Mahia Peninsula</w:t>
            </w:r>
            <w:r w:rsidR="00976AB9">
              <w:rPr>
                <w:lang w:val="en-US"/>
              </w:rPr>
              <w:t>.</w:t>
            </w:r>
          </w:p>
        </w:tc>
      </w:tr>
      <w:tr w:rsidR="000E5A46" w14:paraId="7775A683" w14:textId="77777777" w:rsidTr="00CB6093">
        <w:trPr>
          <w:jc w:val="center"/>
        </w:trPr>
        <w:tc>
          <w:tcPr>
            <w:tcW w:w="2591" w:type="dxa"/>
            <w:vMerge/>
            <w:shd w:val="clear" w:color="auto" w:fill="808080" w:themeFill="background1" w:themeFillShade="80"/>
          </w:tcPr>
          <w:p w14:paraId="0DC44A70" w14:textId="77777777" w:rsidR="000E5A46" w:rsidRDefault="000E5A46" w:rsidP="00CB6093"/>
        </w:tc>
        <w:tc>
          <w:tcPr>
            <w:tcW w:w="1940" w:type="dxa"/>
            <w:vAlign w:val="center"/>
          </w:tcPr>
          <w:p w14:paraId="058866AA" w14:textId="77777777" w:rsidR="00DC4A6D" w:rsidRDefault="00DC4A6D" w:rsidP="002519D7">
            <w:pPr>
              <w:ind w:left="419"/>
            </w:pPr>
          </w:p>
          <w:p w14:paraId="3E686B80" w14:textId="77777777" w:rsidR="00DC4A6D" w:rsidRPr="00DC4A6D" w:rsidRDefault="00DC4A6D" w:rsidP="002519D7">
            <w:pPr>
              <w:ind w:left="419"/>
            </w:pPr>
          </w:p>
        </w:tc>
        <w:tc>
          <w:tcPr>
            <w:tcW w:w="4111" w:type="dxa"/>
          </w:tcPr>
          <w:p w14:paraId="46F0EBE9" w14:textId="4B0C181E" w:rsidR="000E5A46" w:rsidRPr="002519D7" w:rsidRDefault="000E5A46" w:rsidP="002519D7">
            <w:pPr>
              <w:pStyle w:val="ListParagraph"/>
              <w:numPr>
                <w:ilvl w:val="0"/>
                <w:numId w:val="14"/>
              </w:numPr>
              <w:ind w:left="318"/>
              <w:rPr>
                <w:lang w:val="en-US"/>
              </w:rPr>
            </w:pPr>
          </w:p>
        </w:tc>
        <w:tc>
          <w:tcPr>
            <w:tcW w:w="5103" w:type="dxa"/>
          </w:tcPr>
          <w:p w14:paraId="23971E64" w14:textId="39870150" w:rsidR="000E5A46" w:rsidRPr="002519D7" w:rsidRDefault="000E5A46" w:rsidP="002519D7">
            <w:pPr>
              <w:pStyle w:val="ListParagraph"/>
              <w:numPr>
                <w:ilvl w:val="0"/>
                <w:numId w:val="14"/>
              </w:numPr>
              <w:ind w:left="454"/>
              <w:rPr>
                <w:lang w:val="en-US"/>
              </w:rPr>
            </w:pPr>
          </w:p>
        </w:tc>
      </w:tr>
      <w:tr w:rsidR="000E5A46" w14:paraId="71E5EEF1" w14:textId="77777777" w:rsidTr="00CB6093">
        <w:trPr>
          <w:jc w:val="center"/>
        </w:trPr>
        <w:tc>
          <w:tcPr>
            <w:tcW w:w="2591" w:type="dxa"/>
            <w:vMerge/>
            <w:shd w:val="clear" w:color="auto" w:fill="808080" w:themeFill="background1" w:themeFillShade="80"/>
          </w:tcPr>
          <w:p w14:paraId="7781D4AA" w14:textId="77777777" w:rsidR="000E5A46" w:rsidRDefault="000E5A46" w:rsidP="00CB6093"/>
        </w:tc>
        <w:tc>
          <w:tcPr>
            <w:tcW w:w="1940" w:type="dxa"/>
            <w:vAlign w:val="center"/>
          </w:tcPr>
          <w:p w14:paraId="1E7B872D" w14:textId="77777777" w:rsidR="000E5A46" w:rsidRPr="002519D7" w:rsidRDefault="000E5A46" w:rsidP="002519D7">
            <w:pPr>
              <w:pStyle w:val="ListParagraph"/>
              <w:numPr>
                <w:ilvl w:val="0"/>
                <w:numId w:val="14"/>
              </w:numPr>
              <w:ind w:left="419"/>
              <w:rPr>
                <w:lang w:val="en-US"/>
              </w:rPr>
            </w:pPr>
          </w:p>
          <w:p w14:paraId="486FB9D0" w14:textId="77777777" w:rsidR="00DC4A6D" w:rsidRDefault="00DC4A6D" w:rsidP="002519D7">
            <w:pPr>
              <w:ind w:left="419"/>
              <w:rPr>
                <w:lang w:val="en-US"/>
              </w:rPr>
            </w:pPr>
          </w:p>
          <w:p w14:paraId="4AC87F4F" w14:textId="37F27979" w:rsidR="00DC4A6D" w:rsidRPr="00DE03CB" w:rsidRDefault="00DC4A6D" w:rsidP="002519D7">
            <w:pPr>
              <w:ind w:left="419"/>
              <w:rPr>
                <w:lang w:val="en-US"/>
              </w:rPr>
            </w:pPr>
          </w:p>
        </w:tc>
        <w:tc>
          <w:tcPr>
            <w:tcW w:w="4111" w:type="dxa"/>
          </w:tcPr>
          <w:p w14:paraId="08C8D5CA" w14:textId="4424197C" w:rsidR="000E5A46" w:rsidRPr="002519D7" w:rsidRDefault="000E5A46" w:rsidP="002519D7">
            <w:pPr>
              <w:pStyle w:val="ListParagraph"/>
              <w:numPr>
                <w:ilvl w:val="0"/>
                <w:numId w:val="14"/>
              </w:numPr>
              <w:ind w:left="318"/>
              <w:rPr>
                <w:lang w:val="en-US"/>
              </w:rPr>
            </w:pPr>
          </w:p>
        </w:tc>
        <w:tc>
          <w:tcPr>
            <w:tcW w:w="5103" w:type="dxa"/>
          </w:tcPr>
          <w:p w14:paraId="1BBE62ED" w14:textId="354C1DE8" w:rsidR="000E5A46" w:rsidRPr="002519D7" w:rsidRDefault="000E5A46" w:rsidP="002519D7">
            <w:pPr>
              <w:pStyle w:val="ListParagraph"/>
              <w:numPr>
                <w:ilvl w:val="0"/>
                <w:numId w:val="14"/>
              </w:numPr>
              <w:ind w:left="454"/>
              <w:rPr>
                <w:lang w:val="en-US"/>
              </w:rPr>
            </w:pPr>
          </w:p>
        </w:tc>
      </w:tr>
    </w:tbl>
    <w:p w14:paraId="1D0C9362" w14:textId="77777777" w:rsidR="004145B7" w:rsidRDefault="004145B7"/>
    <w:p w14:paraId="1E06007C" w14:textId="77777777" w:rsidR="00E01EC4" w:rsidRDefault="00E01EC4"/>
    <w:p w14:paraId="1E790519" w14:textId="77777777" w:rsidR="00E01EC4" w:rsidRDefault="00E01EC4"/>
    <w:p w14:paraId="65E246E6" w14:textId="77777777" w:rsidR="00E01EC4" w:rsidRDefault="00E01EC4"/>
    <w:p w14:paraId="44E30F8E" w14:textId="5747B06A" w:rsidR="007702C7" w:rsidRPr="00F26648" w:rsidRDefault="007702C7">
      <w:pPr>
        <w:rPr>
          <w:sz w:val="28"/>
          <w:szCs w:val="28"/>
          <w:u w:val="single"/>
        </w:rPr>
      </w:pPr>
      <w:r w:rsidRPr="00F26648">
        <w:rPr>
          <w:sz w:val="28"/>
          <w:szCs w:val="28"/>
          <w:u w:val="single"/>
        </w:rPr>
        <w:t>Note:</w:t>
      </w:r>
    </w:p>
    <w:p w14:paraId="7FB3C115" w14:textId="00CC3940" w:rsidR="007702C7" w:rsidRDefault="007702C7">
      <w:pPr>
        <w:rPr>
          <w:sz w:val="28"/>
          <w:szCs w:val="28"/>
        </w:rPr>
      </w:pPr>
      <w:r w:rsidRPr="00F26648">
        <w:rPr>
          <w:b/>
          <w:bCs/>
          <w:color w:val="FFFF00"/>
          <w:sz w:val="28"/>
          <w:szCs w:val="28"/>
          <w:highlight w:val="black"/>
        </w:rPr>
        <w:t>*</w:t>
      </w:r>
      <w:r w:rsidRPr="00F26648">
        <w:rPr>
          <w:sz w:val="28"/>
          <w:szCs w:val="28"/>
        </w:rPr>
        <w:t xml:space="preserve"> Please include the relevant references.</w:t>
      </w:r>
    </w:p>
    <w:p w14:paraId="2F6CFDB1" w14:textId="77777777" w:rsidR="004276F5" w:rsidRDefault="004276F5">
      <w:pPr>
        <w:rPr>
          <w:sz w:val="28"/>
          <w:szCs w:val="28"/>
        </w:rPr>
      </w:pPr>
    </w:p>
    <w:p w14:paraId="7DCF0E9B" w14:textId="6F8E1ABE" w:rsidR="004276F5" w:rsidRDefault="004276F5">
      <w:pPr>
        <w:rPr>
          <w:sz w:val="28"/>
          <w:szCs w:val="28"/>
        </w:rPr>
      </w:pPr>
      <w:r>
        <w:rPr>
          <w:sz w:val="28"/>
          <w:szCs w:val="28"/>
        </w:rPr>
        <w:t>References:</w:t>
      </w:r>
    </w:p>
    <w:p w14:paraId="648655D1" w14:textId="77777777" w:rsidR="00047B6B" w:rsidRPr="00047B6B" w:rsidRDefault="00D91B57" w:rsidP="00047B6B">
      <w:pPr>
        <w:pStyle w:val="Bibliography"/>
        <w:rPr>
          <w:rFonts w:ascii="Calibri" w:cs="Calibri"/>
          <w:sz w:val="28"/>
          <w:lang w:val="en-US"/>
        </w:rPr>
      </w:pPr>
      <w:r>
        <w:rPr>
          <w:sz w:val="28"/>
          <w:szCs w:val="28"/>
        </w:rPr>
        <w:fldChar w:fldCharType="begin"/>
      </w:r>
      <w:r w:rsidR="001D0DB1">
        <w:rPr>
          <w:sz w:val="28"/>
          <w:szCs w:val="28"/>
        </w:rPr>
        <w:instrText xml:space="preserve"> ADDIN ZOTERO_BIBL {"uncited":[],"omitted":[],"custom":[]} CSL_BIBLIOGRAPHY </w:instrText>
      </w:r>
      <w:r>
        <w:rPr>
          <w:sz w:val="28"/>
          <w:szCs w:val="28"/>
        </w:rPr>
        <w:fldChar w:fldCharType="separate"/>
      </w:r>
      <w:proofErr w:type="spellStart"/>
      <w:r w:rsidR="00047B6B" w:rsidRPr="00047B6B">
        <w:rPr>
          <w:rFonts w:ascii="Calibri" w:cs="Calibri"/>
          <w:sz w:val="28"/>
          <w:lang w:val="en-US"/>
        </w:rPr>
        <w:t>Ataria</w:t>
      </w:r>
      <w:proofErr w:type="spellEnd"/>
      <w:r w:rsidR="00047B6B" w:rsidRPr="00047B6B">
        <w:rPr>
          <w:rFonts w:ascii="Calibri" w:cs="Calibri"/>
          <w:sz w:val="28"/>
          <w:lang w:val="en-US"/>
        </w:rPr>
        <w:t xml:space="preserve">, J., Baker, V., </w:t>
      </w:r>
      <w:proofErr w:type="spellStart"/>
      <w:r w:rsidR="00047B6B" w:rsidRPr="00047B6B">
        <w:rPr>
          <w:rFonts w:ascii="Calibri" w:cs="Calibri"/>
          <w:sz w:val="28"/>
          <w:lang w:val="en-US"/>
        </w:rPr>
        <w:t>Goven</w:t>
      </w:r>
      <w:proofErr w:type="spellEnd"/>
      <w:r w:rsidR="00047B6B" w:rsidRPr="00047B6B">
        <w:rPr>
          <w:rFonts w:ascii="Calibri" w:cs="Calibri"/>
          <w:sz w:val="28"/>
          <w:lang w:val="en-US"/>
        </w:rPr>
        <w:t xml:space="preserve">, J., Langer, E. R. (Lisa), Leckie, A., Ross, M., &amp; </w:t>
      </w:r>
      <w:proofErr w:type="spellStart"/>
      <w:r w:rsidR="00047B6B" w:rsidRPr="00047B6B">
        <w:rPr>
          <w:rFonts w:ascii="Calibri" w:cs="Calibri"/>
          <w:sz w:val="28"/>
          <w:lang w:val="en-US"/>
        </w:rPr>
        <w:t>Horswell</w:t>
      </w:r>
      <w:proofErr w:type="spellEnd"/>
      <w:r w:rsidR="00047B6B" w:rsidRPr="00047B6B">
        <w:rPr>
          <w:rFonts w:ascii="Calibri" w:cs="Calibri"/>
          <w:sz w:val="28"/>
          <w:lang w:val="en-US"/>
        </w:rPr>
        <w:t xml:space="preserve">, J. (2016). </w:t>
      </w:r>
      <w:r w:rsidR="00047B6B" w:rsidRPr="00047B6B">
        <w:rPr>
          <w:rFonts w:ascii="Calibri" w:cs="Calibri"/>
          <w:i/>
          <w:iCs/>
          <w:sz w:val="28"/>
          <w:lang w:val="en-US"/>
        </w:rPr>
        <w:t xml:space="preserve">From </w:t>
      </w:r>
      <w:proofErr w:type="spellStart"/>
      <w:r w:rsidR="00047B6B" w:rsidRPr="00047B6B">
        <w:rPr>
          <w:rFonts w:ascii="Calibri" w:cs="Calibri"/>
          <w:i/>
          <w:iCs/>
          <w:sz w:val="28"/>
          <w:lang w:val="en-US"/>
        </w:rPr>
        <w:t>Tapu</w:t>
      </w:r>
      <w:proofErr w:type="spellEnd"/>
      <w:r w:rsidR="00047B6B" w:rsidRPr="00047B6B">
        <w:rPr>
          <w:rFonts w:ascii="Calibri" w:cs="Calibri"/>
          <w:i/>
          <w:iCs/>
          <w:sz w:val="28"/>
          <w:lang w:val="en-US"/>
        </w:rPr>
        <w:t xml:space="preserve"> to Noa—Māori cultural views on biowastes management: A focus on biosolids</w:t>
      </w:r>
      <w:r w:rsidR="00047B6B" w:rsidRPr="00047B6B">
        <w:rPr>
          <w:rFonts w:ascii="Calibri" w:cs="Calibri"/>
          <w:sz w:val="28"/>
          <w:lang w:val="en-US"/>
        </w:rPr>
        <w:t>.</w:t>
      </w:r>
    </w:p>
    <w:p w14:paraId="10972D70"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Bennett, N., Whitty, T., </w:t>
      </w:r>
      <w:proofErr w:type="spellStart"/>
      <w:r w:rsidRPr="00047B6B">
        <w:rPr>
          <w:rFonts w:ascii="Calibri" w:cs="Calibri"/>
          <w:sz w:val="28"/>
          <w:lang w:val="en-US"/>
        </w:rPr>
        <w:t>Finkbeiner</w:t>
      </w:r>
      <w:proofErr w:type="spellEnd"/>
      <w:r w:rsidRPr="00047B6B">
        <w:rPr>
          <w:rFonts w:ascii="Calibri" w:cs="Calibri"/>
          <w:sz w:val="28"/>
          <w:lang w:val="en-US"/>
        </w:rPr>
        <w:t xml:space="preserve">, E., Pittman, J., Bassett, H., </w:t>
      </w:r>
      <w:proofErr w:type="spellStart"/>
      <w:r w:rsidRPr="00047B6B">
        <w:rPr>
          <w:rFonts w:ascii="Calibri" w:cs="Calibri"/>
          <w:sz w:val="28"/>
          <w:lang w:val="en-US"/>
        </w:rPr>
        <w:t>Gelcich</w:t>
      </w:r>
      <w:proofErr w:type="spellEnd"/>
      <w:r w:rsidRPr="00047B6B">
        <w:rPr>
          <w:rFonts w:ascii="Calibri" w:cs="Calibri"/>
          <w:sz w:val="28"/>
          <w:lang w:val="en-US"/>
        </w:rPr>
        <w:t xml:space="preserve">, S., &amp; Allison, E. (2018). Environmental Stewardship: A Conceptual Review and Analytical Framework. </w:t>
      </w:r>
      <w:r w:rsidRPr="00047B6B">
        <w:rPr>
          <w:rFonts w:ascii="Calibri" w:cs="Calibri"/>
          <w:i/>
          <w:iCs/>
          <w:sz w:val="28"/>
          <w:lang w:val="en-US"/>
        </w:rPr>
        <w:t>Environmental Management</w:t>
      </w:r>
      <w:r w:rsidRPr="00047B6B">
        <w:rPr>
          <w:rFonts w:ascii="Calibri" w:cs="Calibri"/>
          <w:sz w:val="28"/>
          <w:lang w:val="en-US"/>
        </w:rPr>
        <w:t xml:space="preserve">, </w:t>
      </w:r>
      <w:r w:rsidRPr="00047B6B">
        <w:rPr>
          <w:rFonts w:ascii="Calibri" w:cs="Calibri"/>
          <w:i/>
          <w:iCs/>
          <w:sz w:val="28"/>
          <w:lang w:val="en-US"/>
        </w:rPr>
        <w:t>61</w:t>
      </w:r>
      <w:r w:rsidRPr="00047B6B">
        <w:rPr>
          <w:rFonts w:ascii="Calibri" w:cs="Calibri"/>
          <w:sz w:val="28"/>
          <w:lang w:val="en-US"/>
        </w:rPr>
        <w:t>(1), 597–614. https://doi.org/10.1023/A:1021838618750</w:t>
      </w:r>
    </w:p>
    <w:p w14:paraId="12B6D47E" w14:textId="77777777" w:rsidR="00047B6B" w:rsidRPr="00047B6B" w:rsidRDefault="00047B6B" w:rsidP="00047B6B">
      <w:pPr>
        <w:pStyle w:val="Bibliography"/>
        <w:rPr>
          <w:rFonts w:ascii="Calibri" w:cs="Calibri"/>
          <w:sz w:val="28"/>
          <w:lang w:val="en-US"/>
        </w:rPr>
      </w:pPr>
      <w:proofErr w:type="spellStart"/>
      <w:r w:rsidRPr="00047B6B">
        <w:rPr>
          <w:rFonts w:ascii="Calibri" w:cs="Calibri"/>
          <w:sz w:val="28"/>
          <w:lang w:val="en-US"/>
        </w:rPr>
        <w:t>Drumond</w:t>
      </w:r>
      <w:proofErr w:type="spellEnd"/>
      <w:r w:rsidRPr="00047B6B">
        <w:rPr>
          <w:rFonts w:ascii="Calibri" w:cs="Calibri"/>
          <w:sz w:val="28"/>
          <w:lang w:val="en-US"/>
        </w:rPr>
        <w:t xml:space="preserve">, C. (n.d.). </w:t>
      </w:r>
      <w:r w:rsidRPr="00047B6B">
        <w:rPr>
          <w:rFonts w:ascii="Calibri" w:cs="Calibri"/>
          <w:i/>
          <w:iCs/>
          <w:sz w:val="28"/>
          <w:lang w:val="en-US"/>
        </w:rPr>
        <w:t>Agile Project Management—What is it and how to get started?</w:t>
      </w:r>
      <w:r w:rsidRPr="00047B6B">
        <w:rPr>
          <w:rFonts w:ascii="Calibri" w:cs="Calibri"/>
          <w:sz w:val="28"/>
          <w:lang w:val="en-US"/>
        </w:rPr>
        <w:t xml:space="preserve"> Atlassian. Retrieved October 25, 2024, from https://www.atlassian.com/agile/project-management</w:t>
      </w:r>
    </w:p>
    <w:p w14:paraId="0B029F19" w14:textId="77777777" w:rsidR="00047B6B" w:rsidRPr="00047B6B" w:rsidRDefault="00047B6B" w:rsidP="00047B6B">
      <w:pPr>
        <w:pStyle w:val="Bibliography"/>
        <w:rPr>
          <w:rFonts w:ascii="Calibri" w:cs="Calibri"/>
          <w:sz w:val="28"/>
          <w:lang w:val="en-US"/>
        </w:rPr>
      </w:pPr>
      <w:r w:rsidRPr="00047B6B">
        <w:rPr>
          <w:rFonts w:ascii="Calibri" w:cs="Calibri"/>
          <w:i/>
          <w:iCs/>
          <w:sz w:val="28"/>
          <w:lang w:val="en-US"/>
        </w:rPr>
        <w:t>National RMA and EEZA Advocacy Strategy</w:t>
      </w:r>
      <w:r w:rsidRPr="00047B6B">
        <w:rPr>
          <w:rFonts w:ascii="Calibri" w:cs="Calibri"/>
          <w:sz w:val="28"/>
          <w:lang w:val="en-US"/>
        </w:rPr>
        <w:t xml:space="preserve">. (n.d.). Department of Conservation </w:t>
      </w:r>
      <w:proofErr w:type="spellStart"/>
      <w:r w:rsidRPr="00047B6B">
        <w:rPr>
          <w:rFonts w:ascii="Calibri" w:cs="Calibri"/>
          <w:sz w:val="28"/>
          <w:lang w:val="en-US"/>
        </w:rPr>
        <w:t>Te</w:t>
      </w:r>
      <w:proofErr w:type="spellEnd"/>
      <w:r w:rsidRPr="00047B6B">
        <w:rPr>
          <w:rFonts w:ascii="Calibri" w:cs="Calibri"/>
          <w:sz w:val="28"/>
          <w:lang w:val="en-US"/>
        </w:rPr>
        <w:t xml:space="preserve"> Papa </w:t>
      </w:r>
      <w:proofErr w:type="spellStart"/>
      <w:r w:rsidRPr="00047B6B">
        <w:rPr>
          <w:rFonts w:ascii="Calibri" w:cs="Calibri"/>
          <w:sz w:val="28"/>
          <w:lang w:val="en-US"/>
        </w:rPr>
        <w:t>Atawhai</w:t>
      </w:r>
      <w:proofErr w:type="spellEnd"/>
      <w:r w:rsidRPr="00047B6B">
        <w:rPr>
          <w:rFonts w:ascii="Calibri" w:cs="Calibri"/>
          <w:sz w:val="28"/>
          <w:lang w:val="en-US"/>
        </w:rPr>
        <w:t>. Retrieved October 25, 2024, from https://www.doc.govt.nz/about-us/our-role/managing-conservation/resource-management/national-rma-and-eeza-advocacy-strategy/</w:t>
      </w:r>
    </w:p>
    <w:p w14:paraId="7E9E33D5"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lastRenderedPageBreak/>
        <w:t xml:space="preserve">Nkosi, N. T. M. (2014). </w:t>
      </w:r>
      <w:r w:rsidRPr="00047B6B">
        <w:rPr>
          <w:rFonts w:ascii="Calibri" w:cs="Calibri"/>
          <w:i/>
          <w:iCs/>
          <w:sz w:val="28"/>
          <w:lang w:val="en-US"/>
        </w:rPr>
        <w:t>Exploring ethical leadership and its association with sustainable economic performance within the gold mining industry</w:t>
      </w:r>
      <w:r w:rsidRPr="00047B6B">
        <w:rPr>
          <w:rFonts w:ascii="Calibri" w:cs="Calibri"/>
          <w:sz w:val="28"/>
          <w:lang w:val="en-US"/>
        </w:rPr>
        <w:t>.</w:t>
      </w:r>
    </w:p>
    <w:p w14:paraId="16376399"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Peterson, E. (2020, December 15). </w:t>
      </w:r>
      <w:r w:rsidRPr="00047B6B">
        <w:rPr>
          <w:rFonts w:ascii="Calibri" w:cs="Calibri"/>
          <w:i/>
          <w:iCs/>
          <w:sz w:val="28"/>
          <w:lang w:val="en-US"/>
        </w:rPr>
        <w:t>Managing Risks with ROAM in Agile</w:t>
      </w:r>
      <w:r w:rsidRPr="00047B6B">
        <w:rPr>
          <w:rFonts w:ascii="Calibri" w:cs="Calibri"/>
          <w:sz w:val="28"/>
          <w:lang w:val="en-US"/>
        </w:rPr>
        <w:t>. Planview. https://blog.planview.com/managing-risks-with-roam-in-agile/</w:t>
      </w:r>
    </w:p>
    <w:p w14:paraId="65F4A9BD"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Robertson, H., Baird, K., Elliott, G., </w:t>
      </w:r>
      <w:proofErr w:type="spellStart"/>
      <w:r w:rsidRPr="00047B6B">
        <w:rPr>
          <w:rFonts w:ascii="Calibri" w:cs="Calibri"/>
          <w:sz w:val="28"/>
          <w:lang w:val="en-US"/>
        </w:rPr>
        <w:t>Hitchmough</w:t>
      </w:r>
      <w:proofErr w:type="spellEnd"/>
      <w:r w:rsidRPr="00047B6B">
        <w:rPr>
          <w:rFonts w:ascii="Calibri" w:cs="Calibri"/>
          <w:sz w:val="28"/>
          <w:lang w:val="en-US"/>
        </w:rPr>
        <w:t xml:space="preserve">, R., McArthur, N., </w:t>
      </w:r>
      <w:proofErr w:type="spellStart"/>
      <w:r w:rsidRPr="00047B6B">
        <w:rPr>
          <w:rFonts w:ascii="Calibri" w:cs="Calibri"/>
          <w:sz w:val="28"/>
          <w:lang w:val="en-US"/>
        </w:rPr>
        <w:t>Makan</w:t>
      </w:r>
      <w:proofErr w:type="spellEnd"/>
      <w:r w:rsidRPr="00047B6B">
        <w:rPr>
          <w:rFonts w:ascii="Calibri" w:cs="Calibri"/>
          <w:sz w:val="28"/>
          <w:lang w:val="en-US"/>
        </w:rPr>
        <w:t xml:space="preserve">, T., &amp; </w:t>
      </w:r>
      <w:proofErr w:type="spellStart"/>
      <w:r w:rsidRPr="00047B6B">
        <w:rPr>
          <w:rFonts w:ascii="Calibri" w:cs="Calibri"/>
          <w:sz w:val="28"/>
          <w:lang w:val="en-US"/>
        </w:rPr>
        <w:t>Miskelly</w:t>
      </w:r>
      <w:proofErr w:type="spellEnd"/>
      <w:r w:rsidRPr="00047B6B">
        <w:rPr>
          <w:rFonts w:ascii="Calibri" w:cs="Calibri"/>
          <w:sz w:val="28"/>
          <w:lang w:val="en-US"/>
        </w:rPr>
        <w:t xml:space="preserve">, C. (2021). </w:t>
      </w:r>
      <w:r w:rsidRPr="00047B6B">
        <w:rPr>
          <w:rFonts w:ascii="Calibri" w:cs="Calibri"/>
          <w:i/>
          <w:iCs/>
          <w:sz w:val="28"/>
          <w:lang w:val="en-US"/>
        </w:rPr>
        <w:t>Conservation status of birds in Aotearoa New Zealand, 2021</w:t>
      </w:r>
      <w:r w:rsidRPr="00047B6B">
        <w:rPr>
          <w:rFonts w:ascii="Calibri" w:cs="Calibri"/>
          <w:sz w:val="28"/>
          <w:lang w:val="en-US"/>
        </w:rPr>
        <w:t xml:space="preserve">. New Zealand: Department of Conservation, </w:t>
      </w:r>
      <w:proofErr w:type="spellStart"/>
      <w:r w:rsidRPr="00047B6B">
        <w:rPr>
          <w:rFonts w:ascii="Calibri" w:cs="Calibri"/>
          <w:sz w:val="28"/>
          <w:lang w:val="en-US"/>
        </w:rPr>
        <w:t>Te</w:t>
      </w:r>
      <w:proofErr w:type="spellEnd"/>
      <w:r w:rsidRPr="00047B6B">
        <w:rPr>
          <w:rFonts w:ascii="Calibri" w:cs="Calibri"/>
          <w:sz w:val="28"/>
          <w:lang w:val="en-US"/>
        </w:rPr>
        <w:t xml:space="preserve"> Papa </w:t>
      </w:r>
      <w:proofErr w:type="spellStart"/>
      <w:r w:rsidRPr="00047B6B">
        <w:rPr>
          <w:rFonts w:ascii="Calibri" w:cs="Calibri"/>
          <w:sz w:val="28"/>
          <w:lang w:val="en-US"/>
        </w:rPr>
        <w:t>Atawhai</w:t>
      </w:r>
      <w:proofErr w:type="spellEnd"/>
      <w:r w:rsidRPr="00047B6B">
        <w:rPr>
          <w:rFonts w:ascii="Calibri" w:cs="Calibri"/>
          <w:sz w:val="28"/>
          <w:lang w:val="en-US"/>
        </w:rPr>
        <w:t>.</w:t>
      </w:r>
    </w:p>
    <w:p w14:paraId="7620AA99"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Rowe, J., </w:t>
      </w:r>
      <w:proofErr w:type="spellStart"/>
      <w:r w:rsidRPr="00047B6B">
        <w:rPr>
          <w:rFonts w:ascii="Calibri" w:cs="Calibri"/>
          <w:sz w:val="28"/>
          <w:lang w:val="en-US"/>
        </w:rPr>
        <w:t>Collits</w:t>
      </w:r>
      <w:proofErr w:type="spellEnd"/>
      <w:r w:rsidRPr="00047B6B">
        <w:rPr>
          <w:rFonts w:ascii="Calibri" w:cs="Calibri"/>
          <w:sz w:val="28"/>
          <w:lang w:val="en-US"/>
        </w:rPr>
        <w:t xml:space="preserve">, P., &amp; MacLeod, A. (2015). Hawke’s Bay regional economic development strategy: The importance of stakeholder buy-in. </w:t>
      </w:r>
      <w:r w:rsidRPr="00047B6B">
        <w:rPr>
          <w:rFonts w:ascii="Calibri" w:cs="Calibri"/>
          <w:i/>
          <w:iCs/>
          <w:sz w:val="28"/>
          <w:lang w:val="en-US"/>
        </w:rPr>
        <w:t>New Zealand Geographer</w:t>
      </w:r>
      <w:r w:rsidRPr="00047B6B">
        <w:rPr>
          <w:rFonts w:ascii="Calibri" w:cs="Calibri"/>
          <w:sz w:val="28"/>
          <w:lang w:val="en-US"/>
        </w:rPr>
        <w:t xml:space="preserve">, </w:t>
      </w:r>
      <w:r w:rsidRPr="00047B6B">
        <w:rPr>
          <w:rFonts w:ascii="Calibri" w:cs="Calibri"/>
          <w:i/>
          <w:iCs/>
          <w:sz w:val="28"/>
          <w:lang w:val="en-US"/>
        </w:rPr>
        <w:t>71</w:t>
      </w:r>
      <w:r w:rsidRPr="00047B6B">
        <w:rPr>
          <w:rFonts w:ascii="Calibri" w:cs="Calibri"/>
          <w:sz w:val="28"/>
          <w:lang w:val="en-US"/>
        </w:rPr>
        <w:t>(3), 138–145. https://doi.org/10.1023/A:1021838618750</w:t>
      </w:r>
    </w:p>
    <w:p w14:paraId="5E3DA1D9"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Royal, C. (2007, September 24). </w:t>
      </w:r>
      <w:proofErr w:type="spellStart"/>
      <w:r w:rsidRPr="00047B6B">
        <w:rPr>
          <w:rFonts w:ascii="Calibri" w:cs="Calibri"/>
          <w:i/>
          <w:iCs/>
          <w:sz w:val="28"/>
          <w:lang w:val="en-US"/>
        </w:rPr>
        <w:t>Kaitiakitanga</w:t>
      </w:r>
      <w:proofErr w:type="spellEnd"/>
      <w:r w:rsidRPr="00047B6B">
        <w:rPr>
          <w:rFonts w:ascii="Calibri" w:cs="Calibri"/>
          <w:i/>
          <w:iCs/>
          <w:sz w:val="28"/>
          <w:lang w:val="en-US"/>
        </w:rPr>
        <w:t xml:space="preserve"> – guardianship and conservation</w:t>
      </w:r>
      <w:r w:rsidRPr="00047B6B">
        <w:rPr>
          <w:rFonts w:ascii="Calibri" w:cs="Calibri"/>
          <w:sz w:val="28"/>
          <w:lang w:val="en-US"/>
        </w:rPr>
        <w:t xml:space="preserve">. </w:t>
      </w:r>
      <w:proofErr w:type="spellStart"/>
      <w:r w:rsidRPr="00047B6B">
        <w:rPr>
          <w:rFonts w:ascii="Calibri" w:cs="Calibri"/>
          <w:sz w:val="28"/>
          <w:lang w:val="en-US"/>
        </w:rPr>
        <w:t>TeAra</w:t>
      </w:r>
      <w:proofErr w:type="spellEnd"/>
      <w:r w:rsidRPr="00047B6B">
        <w:rPr>
          <w:rFonts w:ascii="Calibri" w:cs="Calibri"/>
          <w:sz w:val="28"/>
          <w:lang w:val="en-US"/>
        </w:rPr>
        <w:t>. https://teara.govt.nz/en/kaitiakitanga-guardianship-and-conservation/print</w:t>
      </w:r>
    </w:p>
    <w:p w14:paraId="7D76DBD1" w14:textId="77777777" w:rsidR="00047B6B" w:rsidRPr="00047B6B" w:rsidRDefault="00047B6B" w:rsidP="00047B6B">
      <w:pPr>
        <w:pStyle w:val="Bibliography"/>
        <w:rPr>
          <w:rFonts w:ascii="Calibri" w:cs="Calibri"/>
          <w:sz w:val="28"/>
          <w:lang w:val="en-US"/>
        </w:rPr>
      </w:pPr>
      <w:r w:rsidRPr="00047B6B">
        <w:rPr>
          <w:rFonts w:ascii="Calibri" w:cs="Calibri"/>
          <w:sz w:val="28"/>
          <w:lang w:val="en-US"/>
        </w:rPr>
        <w:t xml:space="preserve">Singer, D., &amp; Kouda, R. (1999). Examining Risk in Mineral Exploration. </w:t>
      </w:r>
      <w:r w:rsidRPr="00047B6B">
        <w:rPr>
          <w:rFonts w:ascii="Calibri" w:cs="Calibri"/>
          <w:i/>
          <w:iCs/>
          <w:sz w:val="28"/>
          <w:lang w:val="en-US"/>
        </w:rPr>
        <w:t>Natural Resources Research</w:t>
      </w:r>
      <w:r w:rsidRPr="00047B6B">
        <w:rPr>
          <w:rFonts w:ascii="Calibri" w:cs="Calibri"/>
          <w:sz w:val="28"/>
          <w:lang w:val="en-US"/>
        </w:rPr>
        <w:t xml:space="preserve">, </w:t>
      </w:r>
      <w:r w:rsidRPr="00047B6B">
        <w:rPr>
          <w:rFonts w:ascii="Calibri" w:cs="Calibri"/>
          <w:i/>
          <w:iCs/>
          <w:sz w:val="28"/>
          <w:lang w:val="en-US"/>
        </w:rPr>
        <w:t>8</w:t>
      </w:r>
      <w:r w:rsidRPr="00047B6B">
        <w:rPr>
          <w:rFonts w:ascii="Calibri" w:cs="Calibri"/>
          <w:sz w:val="28"/>
          <w:lang w:val="en-US"/>
        </w:rPr>
        <w:t>. https://doi.org/10.1023/A:1021838618750</w:t>
      </w:r>
    </w:p>
    <w:p w14:paraId="54422566" w14:textId="596C290D" w:rsidR="004D6EF5" w:rsidRPr="00F26648" w:rsidRDefault="00D91B57">
      <w:pPr>
        <w:rPr>
          <w:sz w:val="28"/>
          <w:szCs w:val="28"/>
        </w:rPr>
      </w:pPr>
      <w:r>
        <w:rPr>
          <w:sz w:val="28"/>
          <w:szCs w:val="28"/>
        </w:rPr>
        <w:lastRenderedPageBreak/>
        <w:fldChar w:fldCharType="end"/>
      </w:r>
    </w:p>
    <w:sectPr w:rsidR="004D6EF5" w:rsidRPr="00F26648" w:rsidSect="00743C3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3AEF"/>
    <w:multiLevelType w:val="hybridMultilevel"/>
    <w:tmpl w:val="C882AC76"/>
    <w:lvl w:ilvl="0" w:tplc="F44A4392">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1" w15:restartNumberingAfterBreak="0">
    <w:nsid w:val="04571FEE"/>
    <w:multiLevelType w:val="hybridMultilevel"/>
    <w:tmpl w:val="EBE43AD2"/>
    <w:lvl w:ilvl="0" w:tplc="70C4714C">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2" w15:restartNumberingAfterBreak="0">
    <w:nsid w:val="08F37962"/>
    <w:multiLevelType w:val="hybridMultilevel"/>
    <w:tmpl w:val="CF160A5A"/>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0A2B389B"/>
    <w:multiLevelType w:val="hybridMultilevel"/>
    <w:tmpl w:val="BB0C63C0"/>
    <w:lvl w:ilvl="0" w:tplc="39F82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53BBE"/>
    <w:multiLevelType w:val="hybridMultilevel"/>
    <w:tmpl w:val="3764790C"/>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0FE732FF"/>
    <w:multiLevelType w:val="multilevel"/>
    <w:tmpl w:val="A888E800"/>
    <w:lvl w:ilvl="0">
      <w:start w:val="1"/>
      <w:numFmt w:val="decimal"/>
      <w:pStyle w:val="ListParagraph"/>
      <w:lvlText w:val="%1."/>
      <w:lvlJc w:val="left"/>
      <w:pPr>
        <w:ind w:left="1080" w:hanging="360"/>
      </w:pPr>
      <w:rPr>
        <w:rFonts w:hint="default"/>
      </w:rPr>
    </w:lvl>
    <w:lvl w:ilvl="1">
      <w:start w:val="1"/>
      <w:numFmt w:val="none"/>
      <w:lvlText w:val="2.2."/>
      <w:lvlJc w:val="left"/>
      <w:pPr>
        <w:ind w:left="1512" w:hanging="432"/>
      </w:pPr>
      <w:rPr>
        <w:rFonts w:hint="default"/>
      </w:rPr>
    </w:lvl>
    <w:lvl w:ilvl="2">
      <w:start w:val="2"/>
      <w:numFmt w:val="decimal"/>
      <w:lvlText w:val="%3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0705057"/>
    <w:multiLevelType w:val="hybridMultilevel"/>
    <w:tmpl w:val="06E27956"/>
    <w:lvl w:ilvl="0" w:tplc="3DFAFEDC">
      <w:start w:val="1"/>
      <w:numFmt w:val="decimal"/>
      <w:lvlText w:val="%1."/>
      <w:lvlJc w:val="left"/>
      <w:pPr>
        <w:ind w:left="420" w:hanging="360"/>
      </w:pPr>
      <w:rPr>
        <w:rFonts w:asciiTheme="minorHAnsi" w:hAnsiTheme="minorHAnsi" w:cstheme="minorBidi"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3E31BF0"/>
    <w:multiLevelType w:val="hybridMultilevel"/>
    <w:tmpl w:val="145A333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7183319"/>
    <w:multiLevelType w:val="hybridMultilevel"/>
    <w:tmpl w:val="160C47AC"/>
    <w:lvl w:ilvl="0" w:tplc="39F82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47207"/>
    <w:multiLevelType w:val="hybridMultilevel"/>
    <w:tmpl w:val="224403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6414249"/>
    <w:multiLevelType w:val="hybridMultilevel"/>
    <w:tmpl w:val="B1D82118"/>
    <w:lvl w:ilvl="0" w:tplc="CFEAEBC0">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11" w15:restartNumberingAfterBreak="0">
    <w:nsid w:val="2A54180D"/>
    <w:multiLevelType w:val="hybridMultilevel"/>
    <w:tmpl w:val="9B6C24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A8B5AF7"/>
    <w:multiLevelType w:val="multilevel"/>
    <w:tmpl w:val="7396C5CE"/>
    <w:lvl w:ilvl="0">
      <w:start w:val="1"/>
      <w:numFmt w:val="decimal"/>
      <w:lvlText w:val="%1."/>
      <w:lvlJc w:val="left"/>
      <w:pPr>
        <w:ind w:left="733" w:hanging="360"/>
      </w:pPr>
      <w:rPr>
        <w:rFonts w:hint="default"/>
      </w:rPr>
    </w:lvl>
    <w:lvl w:ilvl="1">
      <w:start w:val="2"/>
      <w:numFmt w:val="decimal"/>
      <w:isLgl/>
      <w:lvlText w:val="%1.%2"/>
      <w:lvlJc w:val="left"/>
      <w:pPr>
        <w:ind w:left="1093" w:hanging="360"/>
      </w:pPr>
      <w:rPr>
        <w:rFonts w:ascii="Times New Roman" w:hAnsi="Times New Roman" w:cs="Times New Roman" w:hint="default"/>
      </w:rPr>
    </w:lvl>
    <w:lvl w:ilvl="2">
      <w:start w:val="1"/>
      <w:numFmt w:val="decimal"/>
      <w:isLgl/>
      <w:lvlText w:val="%1.%2.%3"/>
      <w:lvlJc w:val="left"/>
      <w:pPr>
        <w:ind w:left="1813" w:hanging="720"/>
      </w:pPr>
      <w:rPr>
        <w:rFonts w:ascii="Times New Roman" w:hAnsi="Times New Roman" w:cs="Times New Roman" w:hint="default"/>
      </w:rPr>
    </w:lvl>
    <w:lvl w:ilvl="3">
      <w:start w:val="1"/>
      <w:numFmt w:val="decimal"/>
      <w:isLgl/>
      <w:lvlText w:val="%1.%2.%3.%4"/>
      <w:lvlJc w:val="left"/>
      <w:pPr>
        <w:ind w:left="2173" w:hanging="720"/>
      </w:pPr>
      <w:rPr>
        <w:rFonts w:ascii="Times New Roman" w:hAnsi="Times New Roman" w:cs="Times New Roman" w:hint="default"/>
      </w:rPr>
    </w:lvl>
    <w:lvl w:ilvl="4">
      <w:start w:val="1"/>
      <w:numFmt w:val="decimal"/>
      <w:isLgl/>
      <w:lvlText w:val="%1.%2.%3.%4.%5"/>
      <w:lvlJc w:val="left"/>
      <w:pPr>
        <w:ind w:left="2893" w:hanging="1080"/>
      </w:pPr>
      <w:rPr>
        <w:rFonts w:ascii="Times New Roman" w:hAnsi="Times New Roman" w:cs="Times New Roman" w:hint="default"/>
      </w:rPr>
    </w:lvl>
    <w:lvl w:ilvl="5">
      <w:start w:val="1"/>
      <w:numFmt w:val="decimal"/>
      <w:isLgl/>
      <w:lvlText w:val="%1.%2.%3.%4.%5.%6"/>
      <w:lvlJc w:val="left"/>
      <w:pPr>
        <w:ind w:left="3253" w:hanging="1080"/>
      </w:pPr>
      <w:rPr>
        <w:rFonts w:ascii="Times New Roman" w:hAnsi="Times New Roman" w:cs="Times New Roman" w:hint="default"/>
      </w:rPr>
    </w:lvl>
    <w:lvl w:ilvl="6">
      <w:start w:val="1"/>
      <w:numFmt w:val="decimal"/>
      <w:isLgl/>
      <w:lvlText w:val="%1.%2.%3.%4.%5.%6.%7"/>
      <w:lvlJc w:val="left"/>
      <w:pPr>
        <w:ind w:left="3973" w:hanging="1440"/>
      </w:pPr>
      <w:rPr>
        <w:rFonts w:ascii="Times New Roman" w:hAnsi="Times New Roman" w:cs="Times New Roman" w:hint="default"/>
      </w:rPr>
    </w:lvl>
    <w:lvl w:ilvl="7">
      <w:start w:val="1"/>
      <w:numFmt w:val="decimal"/>
      <w:isLgl/>
      <w:lvlText w:val="%1.%2.%3.%4.%5.%6.%7.%8"/>
      <w:lvlJc w:val="left"/>
      <w:pPr>
        <w:ind w:left="4333" w:hanging="1440"/>
      </w:pPr>
      <w:rPr>
        <w:rFonts w:ascii="Times New Roman" w:hAnsi="Times New Roman" w:cs="Times New Roman" w:hint="default"/>
      </w:rPr>
    </w:lvl>
    <w:lvl w:ilvl="8">
      <w:start w:val="1"/>
      <w:numFmt w:val="decimal"/>
      <w:isLgl/>
      <w:lvlText w:val="%1.%2.%3.%4.%5.%6.%7.%8.%9"/>
      <w:lvlJc w:val="left"/>
      <w:pPr>
        <w:ind w:left="5053" w:hanging="1800"/>
      </w:pPr>
      <w:rPr>
        <w:rFonts w:ascii="Times New Roman" w:hAnsi="Times New Roman" w:cs="Times New Roman" w:hint="default"/>
      </w:rPr>
    </w:lvl>
  </w:abstractNum>
  <w:abstractNum w:abstractNumId="13" w15:restartNumberingAfterBreak="0">
    <w:nsid w:val="362E4461"/>
    <w:multiLevelType w:val="hybridMultilevel"/>
    <w:tmpl w:val="5196629E"/>
    <w:lvl w:ilvl="0" w:tplc="39F82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617BE"/>
    <w:multiLevelType w:val="hybridMultilevel"/>
    <w:tmpl w:val="A9BE4B12"/>
    <w:lvl w:ilvl="0" w:tplc="976EBB8E">
      <w:start w:val="1"/>
      <w:numFmt w:val="decimal"/>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15" w15:restartNumberingAfterBreak="0">
    <w:nsid w:val="49F73EF8"/>
    <w:multiLevelType w:val="hybridMultilevel"/>
    <w:tmpl w:val="C322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36282"/>
    <w:multiLevelType w:val="hybridMultilevel"/>
    <w:tmpl w:val="611CD36A"/>
    <w:lvl w:ilvl="0" w:tplc="762C05EA">
      <w:start w:val="1"/>
      <w:numFmt w:val="lowerLetter"/>
      <w:lvlText w:val="%1."/>
      <w:lvlJc w:val="left"/>
      <w:pPr>
        <w:ind w:left="1093" w:hanging="360"/>
      </w:pPr>
      <w:rPr>
        <w:rFonts w:ascii="Times New Roman" w:hAnsi="Times New Roman" w:cs="Times New Roman" w:hint="default"/>
      </w:rPr>
    </w:lvl>
    <w:lvl w:ilvl="1" w:tplc="04090019" w:tentative="1">
      <w:start w:val="1"/>
      <w:numFmt w:val="lowerLetter"/>
      <w:lvlText w:val="%2."/>
      <w:lvlJc w:val="left"/>
      <w:pPr>
        <w:ind w:left="1813" w:hanging="360"/>
      </w:pPr>
    </w:lvl>
    <w:lvl w:ilvl="2" w:tplc="0409001B" w:tentative="1">
      <w:start w:val="1"/>
      <w:numFmt w:val="lowerRoman"/>
      <w:lvlText w:val="%3."/>
      <w:lvlJc w:val="right"/>
      <w:pPr>
        <w:ind w:left="2533" w:hanging="180"/>
      </w:pPr>
    </w:lvl>
    <w:lvl w:ilvl="3" w:tplc="0409000F" w:tentative="1">
      <w:start w:val="1"/>
      <w:numFmt w:val="decimal"/>
      <w:lvlText w:val="%4."/>
      <w:lvlJc w:val="left"/>
      <w:pPr>
        <w:ind w:left="3253" w:hanging="360"/>
      </w:pPr>
    </w:lvl>
    <w:lvl w:ilvl="4" w:tplc="04090019" w:tentative="1">
      <w:start w:val="1"/>
      <w:numFmt w:val="lowerLetter"/>
      <w:lvlText w:val="%5."/>
      <w:lvlJc w:val="left"/>
      <w:pPr>
        <w:ind w:left="3973" w:hanging="360"/>
      </w:pPr>
    </w:lvl>
    <w:lvl w:ilvl="5" w:tplc="0409001B" w:tentative="1">
      <w:start w:val="1"/>
      <w:numFmt w:val="lowerRoman"/>
      <w:lvlText w:val="%6."/>
      <w:lvlJc w:val="right"/>
      <w:pPr>
        <w:ind w:left="4693" w:hanging="180"/>
      </w:pPr>
    </w:lvl>
    <w:lvl w:ilvl="6" w:tplc="0409000F" w:tentative="1">
      <w:start w:val="1"/>
      <w:numFmt w:val="decimal"/>
      <w:lvlText w:val="%7."/>
      <w:lvlJc w:val="left"/>
      <w:pPr>
        <w:ind w:left="5413" w:hanging="360"/>
      </w:pPr>
    </w:lvl>
    <w:lvl w:ilvl="7" w:tplc="04090019" w:tentative="1">
      <w:start w:val="1"/>
      <w:numFmt w:val="lowerLetter"/>
      <w:lvlText w:val="%8."/>
      <w:lvlJc w:val="left"/>
      <w:pPr>
        <w:ind w:left="6133" w:hanging="360"/>
      </w:pPr>
    </w:lvl>
    <w:lvl w:ilvl="8" w:tplc="0409001B" w:tentative="1">
      <w:start w:val="1"/>
      <w:numFmt w:val="lowerRoman"/>
      <w:lvlText w:val="%9."/>
      <w:lvlJc w:val="right"/>
      <w:pPr>
        <w:ind w:left="6853" w:hanging="180"/>
      </w:pPr>
    </w:lvl>
  </w:abstractNum>
  <w:abstractNum w:abstractNumId="17" w15:restartNumberingAfterBreak="0">
    <w:nsid w:val="5611209B"/>
    <w:multiLevelType w:val="hybridMultilevel"/>
    <w:tmpl w:val="22E62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72A05"/>
    <w:multiLevelType w:val="hybridMultilevel"/>
    <w:tmpl w:val="929A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26268E"/>
    <w:multiLevelType w:val="hybridMultilevel"/>
    <w:tmpl w:val="F39AFDF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AEB2274"/>
    <w:multiLevelType w:val="hybridMultilevel"/>
    <w:tmpl w:val="36CA4854"/>
    <w:lvl w:ilvl="0" w:tplc="73D4FAD4">
      <w:start w:val="1"/>
      <w:numFmt w:val="decimal"/>
      <w:lvlText w:val="%1."/>
      <w:lvlJc w:val="left"/>
      <w:pPr>
        <w:ind w:left="817" w:hanging="360"/>
      </w:pPr>
      <w:rPr>
        <w:rFonts w:hint="default"/>
      </w:r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1" w15:restartNumberingAfterBreak="0">
    <w:nsid w:val="5CDD56C8"/>
    <w:multiLevelType w:val="hybridMultilevel"/>
    <w:tmpl w:val="B770B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73DBF"/>
    <w:multiLevelType w:val="hybridMultilevel"/>
    <w:tmpl w:val="4BAA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A59FE"/>
    <w:multiLevelType w:val="hybridMultilevel"/>
    <w:tmpl w:val="1BC24E5C"/>
    <w:lvl w:ilvl="0" w:tplc="0C2C6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C6555"/>
    <w:multiLevelType w:val="hybridMultilevel"/>
    <w:tmpl w:val="948E99F8"/>
    <w:lvl w:ilvl="0" w:tplc="39F82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10362"/>
    <w:multiLevelType w:val="hybridMultilevel"/>
    <w:tmpl w:val="02664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4008C"/>
    <w:multiLevelType w:val="hybridMultilevel"/>
    <w:tmpl w:val="3BF48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43333838">
    <w:abstractNumId w:val="5"/>
  </w:num>
  <w:num w:numId="2" w16cid:durableId="397167700">
    <w:abstractNumId w:val="23"/>
  </w:num>
  <w:num w:numId="3" w16cid:durableId="234894840">
    <w:abstractNumId w:val="8"/>
  </w:num>
  <w:num w:numId="4" w16cid:durableId="787702678">
    <w:abstractNumId w:val="13"/>
  </w:num>
  <w:num w:numId="5" w16cid:durableId="482695156">
    <w:abstractNumId w:val="24"/>
  </w:num>
  <w:num w:numId="6" w16cid:durableId="100494993">
    <w:abstractNumId w:val="3"/>
  </w:num>
  <w:num w:numId="7" w16cid:durableId="1584875627">
    <w:abstractNumId w:val="25"/>
  </w:num>
  <w:num w:numId="8" w16cid:durableId="1561403462">
    <w:abstractNumId w:val="15"/>
  </w:num>
  <w:num w:numId="9" w16cid:durableId="1489860235">
    <w:abstractNumId w:val="4"/>
  </w:num>
  <w:num w:numId="10" w16cid:durableId="1947693322">
    <w:abstractNumId w:val="18"/>
  </w:num>
  <w:num w:numId="11" w16cid:durableId="1935016646">
    <w:abstractNumId w:val="2"/>
  </w:num>
  <w:num w:numId="12" w16cid:durableId="2030332163">
    <w:abstractNumId w:val="26"/>
  </w:num>
  <w:num w:numId="13" w16cid:durableId="1720131129">
    <w:abstractNumId w:val="11"/>
  </w:num>
  <w:num w:numId="14" w16cid:durableId="391924564">
    <w:abstractNumId w:val="9"/>
  </w:num>
  <w:num w:numId="15" w16cid:durableId="1042709245">
    <w:abstractNumId w:val="7"/>
  </w:num>
  <w:num w:numId="16" w16cid:durableId="98306023">
    <w:abstractNumId w:val="19"/>
  </w:num>
  <w:num w:numId="17" w16cid:durableId="924875388">
    <w:abstractNumId w:val="5"/>
    <w:lvlOverride w:ilvl="0">
      <w:startOverride w:val="1"/>
    </w:lvlOverride>
  </w:num>
  <w:num w:numId="18" w16cid:durableId="1725762251">
    <w:abstractNumId w:val="1"/>
  </w:num>
  <w:num w:numId="19" w16cid:durableId="1819031387">
    <w:abstractNumId w:val="12"/>
  </w:num>
  <w:num w:numId="20" w16cid:durableId="1890915643">
    <w:abstractNumId w:val="16"/>
  </w:num>
  <w:num w:numId="21" w16cid:durableId="938224275">
    <w:abstractNumId w:val="0"/>
  </w:num>
  <w:num w:numId="22" w16cid:durableId="1100375123">
    <w:abstractNumId w:val="6"/>
  </w:num>
  <w:num w:numId="23" w16cid:durableId="897131260">
    <w:abstractNumId w:val="14"/>
  </w:num>
  <w:num w:numId="24" w16cid:durableId="1038358107">
    <w:abstractNumId w:val="10"/>
  </w:num>
  <w:num w:numId="25" w16cid:durableId="923417595">
    <w:abstractNumId w:val="20"/>
  </w:num>
  <w:num w:numId="26" w16cid:durableId="121071903">
    <w:abstractNumId w:val="22"/>
  </w:num>
  <w:num w:numId="27" w16cid:durableId="365839896">
    <w:abstractNumId w:val="21"/>
  </w:num>
  <w:num w:numId="28" w16cid:durableId="1832527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C"/>
    <w:rsid w:val="00045958"/>
    <w:rsid w:val="00047B6B"/>
    <w:rsid w:val="00053943"/>
    <w:rsid w:val="00070E2E"/>
    <w:rsid w:val="0007307B"/>
    <w:rsid w:val="000C5774"/>
    <w:rsid w:val="000D339D"/>
    <w:rsid w:val="000E3F9A"/>
    <w:rsid w:val="000E5A46"/>
    <w:rsid w:val="00186CA7"/>
    <w:rsid w:val="001948EA"/>
    <w:rsid w:val="001C0F05"/>
    <w:rsid w:val="001D0DB1"/>
    <w:rsid w:val="001E24A1"/>
    <w:rsid w:val="001F1A4B"/>
    <w:rsid w:val="001F3186"/>
    <w:rsid w:val="002519D7"/>
    <w:rsid w:val="0025405A"/>
    <w:rsid w:val="00266B5B"/>
    <w:rsid w:val="002721E9"/>
    <w:rsid w:val="002A35CF"/>
    <w:rsid w:val="002D612F"/>
    <w:rsid w:val="002F685B"/>
    <w:rsid w:val="00324E45"/>
    <w:rsid w:val="00326EC6"/>
    <w:rsid w:val="003358F7"/>
    <w:rsid w:val="00345477"/>
    <w:rsid w:val="003A338B"/>
    <w:rsid w:val="003B73E5"/>
    <w:rsid w:val="003D1853"/>
    <w:rsid w:val="003D4E4C"/>
    <w:rsid w:val="003D7C95"/>
    <w:rsid w:val="00402E29"/>
    <w:rsid w:val="00413EC7"/>
    <w:rsid w:val="004145B7"/>
    <w:rsid w:val="004276F5"/>
    <w:rsid w:val="004375FB"/>
    <w:rsid w:val="004B077A"/>
    <w:rsid w:val="004B71B1"/>
    <w:rsid w:val="004D6EF5"/>
    <w:rsid w:val="004F7A1E"/>
    <w:rsid w:val="00511FDF"/>
    <w:rsid w:val="00532F35"/>
    <w:rsid w:val="005462EB"/>
    <w:rsid w:val="00596400"/>
    <w:rsid w:val="005977AA"/>
    <w:rsid w:val="005B1BA6"/>
    <w:rsid w:val="005B68DE"/>
    <w:rsid w:val="005D7BEA"/>
    <w:rsid w:val="006046F4"/>
    <w:rsid w:val="0067051F"/>
    <w:rsid w:val="00695F8C"/>
    <w:rsid w:val="006C4347"/>
    <w:rsid w:val="006E6CB6"/>
    <w:rsid w:val="00707781"/>
    <w:rsid w:val="00735C68"/>
    <w:rsid w:val="00743C36"/>
    <w:rsid w:val="007454BB"/>
    <w:rsid w:val="007509EF"/>
    <w:rsid w:val="007702C7"/>
    <w:rsid w:val="007E7DCB"/>
    <w:rsid w:val="007F3740"/>
    <w:rsid w:val="00803ED9"/>
    <w:rsid w:val="0085319B"/>
    <w:rsid w:val="00870655"/>
    <w:rsid w:val="00876E62"/>
    <w:rsid w:val="00884B14"/>
    <w:rsid w:val="00886263"/>
    <w:rsid w:val="00886630"/>
    <w:rsid w:val="0089240B"/>
    <w:rsid w:val="008F43B1"/>
    <w:rsid w:val="0092492F"/>
    <w:rsid w:val="00955B52"/>
    <w:rsid w:val="009569A9"/>
    <w:rsid w:val="00961A42"/>
    <w:rsid w:val="009636E2"/>
    <w:rsid w:val="00976AB9"/>
    <w:rsid w:val="00976DB7"/>
    <w:rsid w:val="00992E99"/>
    <w:rsid w:val="00997820"/>
    <w:rsid w:val="009D399F"/>
    <w:rsid w:val="009D3F92"/>
    <w:rsid w:val="009F3B4B"/>
    <w:rsid w:val="009F531F"/>
    <w:rsid w:val="00A30999"/>
    <w:rsid w:val="00A31218"/>
    <w:rsid w:val="00A5298F"/>
    <w:rsid w:val="00AF4993"/>
    <w:rsid w:val="00B07046"/>
    <w:rsid w:val="00B4737A"/>
    <w:rsid w:val="00B56C3C"/>
    <w:rsid w:val="00B6376A"/>
    <w:rsid w:val="00C06B5E"/>
    <w:rsid w:val="00C23A10"/>
    <w:rsid w:val="00C2637F"/>
    <w:rsid w:val="00C916BA"/>
    <w:rsid w:val="00CB0EE2"/>
    <w:rsid w:val="00CB6093"/>
    <w:rsid w:val="00CD3C75"/>
    <w:rsid w:val="00CD7F17"/>
    <w:rsid w:val="00D75749"/>
    <w:rsid w:val="00D91B57"/>
    <w:rsid w:val="00DB04B4"/>
    <w:rsid w:val="00DB3CB3"/>
    <w:rsid w:val="00DC4A6D"/>
    <w:rsid w:val="00DE03CB"/>
    <w:rsid w:val="00E01EC4"/>
    <w:rsid w:val="00E7532C"/>
    <w:rsid w:val="00F26648"/>
    <w:rsid w:val="00F26923"/>
    <w:rsid w:val="00F44E80"/>
    <w:rsid w:val="00F468D9"/>
    <w:rsid w:val="00F7631C"/>
    <w:rsid w:val="00F96E8F"/>
    <w:rsid w:val="00F97090"/>
    <w:rsid w:val="05A0A164"/>
    <w:rsid w:val="1DAC87FA"/>
    <w:rsid w:val="1F8A81BE"/>
    <w:rsid w:val="3912BDD4"/>
    <w:rsid w:val="50F84B92"/>
    <w:rsid w:val="5B6E582D"/>
    <w:rsid w:val="6069F33B"/>
    <w:rsid w:val="7CD6ECC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D2923"/>
  <w15:chartTrackingRefBased/>
  <w15:docId w15:val="{C2549505-1BB7-3140-A116-A973697B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B7"/>
    <w:pPr>
      <w:numPr>
        <w:numId w:val="1"/>
      </w:numPr>
      <w:contextualSpacing/>
    </w:pPr>
  </w:style>
  <w:style w:type="table" w:styleId="TableGrid">
    <w:name w:val="Table Grid"/>
    <w:basedOn w:val="TableNormal"/>
    <w:uiPriority w:val="39"/>
    <w:rsid w:val="00E75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91B57"/>
    <w:pPr>
      <w:spacing w:line="480" w:lineRule="auto"/>
      <w:ind w:left="720" w:hanging="720"/>
    </w:pPr>
  </w:style>
  <w:style w:type="character" w:styleId="Hyperlink">
    <w:name w:val="Hyperlink"/>
    <w:basedOn w:val="DefaultParagraphFont"/>
    <w:uiPriority w:val="99"/>
    <w:unhideWhenUsed/>
    <w:rsid w:val="005977AA"/>
    <w:rPr>
      <w:color w:val="0563C1" w:themeColor="hyperlink"/>
      <w:u w:val="single"/>
    </w:rPr>
  </w:style>
  <w:style w:type="character" w:styleId="UnresolvedMention">
    <w:name w:val="Unresolved Mention"/>
    <w:basedOn w:val="DefaultParagraphFont"/>
    <w:uiPriority w:val="99"/>
    <w:semiHidden/>
    <w:unhideWhenUsed/>
    <w:rsid w:val="00597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16479">
      <w:bodyDiv w:val="1"/>
      <w:marLeft w:val="0"/>
      <w:marRight w:val="0"/>
      <w:marTop w:val="0"/>
      <w:marBottom w:val="0"/>
      <w:divBdr>
        <w:top w:val="none" w:sz="0" w:space="0" w:color="auto"/>
        <w:left w:val="none" w:sz="0" w:space="0" w:color="auto"/>
        <w:bottom w:val="none" w:sz="0" w:space="0" w:color="auto"/>
        <w:right w:val="none" w:sz="0" w:space="0" w:color="auto"/>
      </w:divBdr>
    </w:div>
    <w:div w:id="158422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8f9d3af-e8d6-41ce-a983-4e2e4e5c29e9" xsi:nil="true"/>
    <lcf76f155ced4ddcb4097134ff3c332f xmlns="622df6c5-d124-4abe-bfec-7b68b5c686a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ABC2B72B233A4F8FFBBBEF96D50638" ma:contentTypeVersion="12" ma:contentTypeDescription="Create a new document." ma:contentTypeScope="" ma:versionID="7a41a233709e163f88d16a61a9920ada">
  <xsd:schema xmlns:xsd="http://www.w3.org/2001/XMLSchema" xmlns:xs="http://www.w3.org/2001/XMLSchema" xmlns:p="http://schemas.microsoft.com/office/2006/metadata/properties" xmlns:ns2="622df6c5-d124-4abe-bfec-7b68b5c686ad" xmlns:ns3="d8f9d3af-e8d6-41ce-a983-4e2e4e5c29e9" targetNamespace="http://schemas.microsoft.com/office/2006/metadata/properties" ma:root="true" ma:fieldsID="60cbade4b3dd9a480aee1a979d649945" ns2:_="" ns3:_="">
    <xsd:import namespace="622df6c5-d124-4abe-bfec-7b68b5c686ad"/>
    <xsd:import namespace="d8f9d3af-e8d6-41ce-a983-4e2e4e5c29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f6c5-d124-4abe-bfec-7b68b5c6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87ff555-2678-4e92-a016-67fe0a69749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9d3af-e8d6-41ce-a983-4e2e4e5c29e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2da7d5c-e63e-49e5-82e5-5c30877baad4}" ma:internalName="TaxCatchAll" ma:showField="CatchAllData" ma:web="d8f9d3af-e8d6-41ce-a983-4e2e4e5c2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AB9674-0ABA-40FD-AFEF-1D03D99DB57C}">
  <ds:schemaRefs>
    <ds:schemaRef ds:uri="http://schemas.microsoft.com/sharepoint/v3/contenttype/forms"/>
  </ds:schemaRefs>
</ds:datastoreItem>
</file>

<file path=customXml/itemProps2.xml><?xml version="1.0" encoding="utf-8"?>
<ds:datastoreItem xmlns:ds="http://schemas.openxmlformats.org/officeDocument/2006/customXml" ds:itemID="{DFAA6C58-C314-C942-A231-E58401EF0E7B}">
  <ds:schemaRefs>
    <ds:schemaRef ds:uri="http://schemas.openxmlformats.org/officeDocument/2006/bibliography"/>
  </ds:schemaRefs>
</ds:datastoreItem>
</file>

<file path=customXml/itemProps3.xml><?xml version="1.0" encoding="utf-8"?>
<ds:datastoreItem xmlns:ds="http://schemas.openxmlformats.org/officeDocument/2006/customXml" ds:itemID="{92D2C69B-30D2-4027-B977-94D96C264B81}">
  <ds:schemaRefs>
    <ds:schemaRef ds:uri="http://schemas.microsoft.com/office/2006/metadata/properties"/>
    <ds:schemaRef ds:uri="http://schemas.microsoft.com/office/infopath/2007/PartnerControls"/>
    <ds:schemaRef ds:uri="d8f9d3af-e8d6-41ce-a983-4e2e4e5c29e9"/>
    <ds:schemaRef ds:uri="622df6c5-d124-4abe-bfec-7b68b5c686ad"/>
  </ds:schemaRefs>
</ds:datastoreItem>
</file>

<file path=customXml/itemProps4.xml><?xml version="1.0" encoding="utf-8"?>
<ds:datastoreItem xmlns:ds="http://schemas.openxmlformats.org/officeDocument/2006/customXml" ds:itemID="{137BAD6A-AE9A-4655-B93C-4E8A04976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f6c5-d124-4abe-bfec-7b68b5c686ad"/>
    <ds:schemaRef ds:uri="d8f9d3af-e8d6-41ce-a983-4e2e4e5c2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Gielo Joseph Fernandez</cp:lastModifiedBy>
  <cp:revision>85</cp:revision>
  <dcterms:created xsi:type="dcterms:W3CDTF">2024-11-06T22:21:00Z</dcterms:created>
  <dcterms:modified xsi:type="dcterms:W3CDTF">2024-11-25T11:57:00Z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0x010100D3ABC2B72B233A4F8FFBBBEF96D50638</vt:lpwstr>
  </property>
  <property fmtid="{D5CDD505-2E9C-101B-9397-08002B2CF9AE}" pid="3" name="MediaServiceImageTags">
    <vt:lpwstr/>
  </property>
  <property fmtid="{D5CDD505-2E9C-101B-9397-08002B2CF9AE}" pid="4" name="ZOTERO_PREF_1">
    <vt:lpwstr>&lt;data data-version="3" zotero-version="7.0.7"&gt;&lt;session id="U8K9zewZ"/&gt;&lt;style id="http://www.zotero.org/styles/apa" locale="en-US" hasBibliography="1" bibliographyStyleHasBeenSet="1"/&gt;&lt;prefs&gt;&lt;pref name="fieldType" value="Field"/&gt;&lt;/prefs&gt;&lt;/data&gt;</vt:lpwstr>
  </property>
</Properties>
</file>