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sz w:val="28"/>
        </w:rPr>
        <w:t>Integrated Docking, Pilot Molecular Dynamics, and Ligand-Based GNN Prioritization of Macaflavone Candidates Targeting the BCL-2 Canonical Groove</w:t>
      </w:r>
    </w:p>
    <w:p>
      <w:pPr>
        <w:spacing w:after="120"/>
        <w:jc w:val="center"/>
      </w:pPr>
      <w:r>
        <w:rPr>
          <w:i/>
        </w:rPr>
        <w:t>Draft article layout with embedded figures and quantitative tables</w:t>
      </w:r>
    </w:p>
    <w:p>
      <w:pPr>
        <w:pStyle w:val="Heading1"/>
        <w:spacing w:after="120"/>
      </w:pPr>
      <w:r>
        <w:t>Abstract</w:t>
      </w:r>
    </w:p>
    <w:p>
      <w:pPr>
        <w:spacing w:after="120"/>
      </w:pPr>
      <w:r>
        <w:t>This study developed an integrated computational workflow to prioritize Macaflavone I and Macaflavone II as candidate ligands targeting the BCL-2 canonical groove. The workflow combined ligand curation, strict local docking, control benchmarking with Venetoclax and BFC ligands, short-timescale pilot molecular dynamics (MD), ligand-based graph neural network (GNN) modeling, applicability-domain analysis, and conservative evidence-boundary interpretation. Docking analysis showed that Venetoclax retained the strongest canonical-groove binding affinity, while Macaflavone II slightly outperformed Macaflavone I among the two natural-product candidates. Pilot MD further prioritized Macaflavone II based on interaction-persistence descriptors. A ligand-based GIN-like GNN trained on curated BCL-2 activity records achieved a test MAE of 0.600, RMSE of 0.856, R² of 0.683, and Spearman ρ of 0.827. However, applicability-domain analysis indicated low training-space similarity for Macaflavone I and II, requiring cautious interpretation of GNN predictions. Overall, Macaflavone II emerged as the stronger Macaflavone candidate, whereas Venetoclax remained the reference control. The workflow supports computational prioritization for follow-up MM-PBSA, longer MD, or experimental validation, but does not establish confirmed BCL-2 inhibition or apoptosis activation.</w:t>
      </w:r>
    </w:p>
    <w:p>
      <w:pPr>
        <w:spacing w:after="120"/>
      </w:pPr>
      <w:r>
        <w:t>Keywords: Macaflavone; BCL-2; molecular docking; pilot molecular dynamics; graph neural network; applicability domain; computational prioritization.</w:t>
      </w:r>
    </w:p>
    <w:p>
      <w:pPr>
        <w:pStyle w:val="Heading1"/>
        <w:spacing w:after="120"/>
      </w:pPr>
      <w:r>
        <w:t>1. Introduction</w:t>
      </w:r>
    </w:p>
    <w:p>
      <w:pPr>
        <w:spacing w:after="120"/>
      </w:pPr>
      <w:r>
        <w:t>BCL-2 is an anti-apoptotic regulator that modulates mitochondrial apoptosis by controlling pro-apoptotic partners such as BAX and BAK. Its canonical hydrophobic groove represents the principal binding site for BH3-mimetic ligands and thus remains a relevant computational target for early-stage prioritization studies.</w:t>
      </w:r>
    </w:p>
    <w:p>
      <w:pPr>
        <w:spacing w:after="120"/>
      </w:pPr>
      <w:r>
        <w:t>Macaflavone I and Macaflavone II are prenylated flavonoid derivatives that offer a compact natural-product scaffold with combined aromatic, hydrogen-bonding, and hydrophobic features. Because docking score alone does not sufficiently establish biological relevance, a multi-layered workflow was used here to integrate docking, pilot MD, ligand-based GNN prediction, and applicability-domain analysis.</w:t>
      </w:r>
    </w:p>
    <w:p>
      <w:pPr>
        <w:spacing w:after="120"/>
      </w:pPr>
      <w:r>
        <w:t>The goal of this work is to prioritize the stronger Macaflavone candidate for follow-up computational or experimental validation while maintaining conservative interpretation boundaries. In this framework, docking supports pose-level plausibility, pilot MD supports short-timescale interaction persistence, and the ligand-based GNN contributes an auxiliary activity-tendency signal rather than direct pose validation.</w:t>
      </w:r>
    </w:p>
    <w:p>
      <w:pPr>
        <w:pStyle w:val="Heading1"/>
        <w:spacing w:after="120"/>
      </w:pPr>
      <w:r>
        <w:t>2. Methods</w:t>
      </w:r>
    </w:p>
    <w:p>
      <w:pPr>
        <w:pStyle w:val="Heading2"/>
        <w:spacing w:after="120"/>
      </w:pPr>
      <w:r>
        <w:t>2.1 Overall computational workflow</w:t>
      </w:r>
    </w:p>
    <w:p>
      <w:pPr>
        <w:spacing w:after="120"/>
      </w:pPr>
      <w:r>
        <w:t>The overall workflow began with ligand collection and curation, followed by BCL-2 preparation, strict local docking, complex preparation for pilot MD, integrated docking–MD interpretation, ligand-based GNN training, external ligand prediction, and final consensus prioritization.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31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entific_workflow_for_macaflavone_prioritiz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3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</w:rPr>
        <w:t>Figure 1. Integrated computational workflow for Macaflavone-based BCL-2 prioritization.</w:t>
      </w:r>
    </w:p>
    <w:p>
      <w:pPr>
        <w:spacing w:after="120"/>
      </w:pPr>
      <w:r>
        <w:rPr>
          <w:b/>
        </w:rPr>
        <w:t>Table 1. Ligand descriptors and computational roles.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pPr>
              <w:spacing w:after="0" w:before="0"/>
            </w:pPr>
            <w:r/>
            <w:r>
              <w:rPr>
                <w:b/>
              </w:rPr>
              <w:t>Ligand</w:t>
            </w:r>
          </w:p>
        </w:tc>
        <w:tc>
          <w:tcPr>
            <w:tcW w:type="dxa" w:w="1378"/>
          </w:tcPr>
          <w:p>
            <w:pPr>
              <w:spacing w:after="0" w:before="0"/>
            </w:pPr>
            <w:r/>
            <w:r>
              <w:rPr>
                <w:b/>
              </w:rPr>
              <w:t>Atom count</w:t>
            </w:r>
          </w:p>
        </w:tc>
        <w:tc>
          <w:tcPr>
            <w:tcW w:type="dxa" w:w="1378"/>
          </w:tcPr>
          <w:p>
            <w:pPr>
              <w:spacing w:after="0" w:before="0"/>
            </w:pPr>
            <w:r/>
            <w:r>
              <w:rPr>
                <w:b/>
              </w:rPr>
              <w:t>Bond count</w:t>
            </w:r>
          </w:p>
        </w:tc>
        <w:tc>
          <w:tcPr>
            <w:tcW w:type="dxa" w:w="1378"/>
          </w:tcPr>
          <w:p>
            <w:pPr>
              <w:spacing w:after="0" w:before="0"/>
            </w:pPr>
            <w:r/>
            <w:r>
              <w:rPr>
                <w:b/>
              </w:rPr>
              <w:t>Candidate code</w:t>
            </w:r>
          </w:p>
        </w:tc>
        <w:tc>
          <w:tcPr>
            <w:tcW w:type="dxa" w:w="1378"/>
          </w:tcPr>
          <w:p>
            <w:pPr>
              <w:spacing w:after="0" w:before="0"/>
            </w:pPr>
            <w:r/>
            <w:r>
              <w:rPr>
                <w:b/>
              </w:rPr>
              <w:t>Docking</w:t>
            </w:r>
          </w:p>
        </w:tc>
        <w:tc>
          <w:tcPr>
            <w:tcW w:type="dxa" w:w="1378"/>
          </w:tcPr>
          <w:p>
            <w:pPr>
              <w:spacing w:after="0" w:before="0"/>
            </w:pPr>
            <w:r/>
            <w:r>
              <w:rPr>
                <w:b/>
              </w:rPr>
              <w:t>Pilot MD</w:t>
            </w:r>
          </w:p>
        </w:tc>
        <w:tc>
          <w:tcPr>
            <w:tcW w:type="dxa" w:w="1378"/>
          </w:tcPr>
          <w:p>
            <w:pPr>
              <w:spacing w:after="0" w:before="0"/>
            </w:pPr>
            <w:r/>
            <w:r>
              <w:rPr>
                <w:b/>
              </w:rPr>
              <w:t>GNN prediction</w:t>
            </w:r>
          </w:p>
        </w:tc>
      </w:tr>
      <w:tr>
        <w:tc>
          <w:tcPr>
            <w:tcW w:type="dxa" w:w="1378"/>
          </w:tcPr>
          <w:p>
            <w:pPr>
              <w:spacing w:after="0" w:before="0"/>
            </w:pPr>
            <w:r/>
            <w:r>
              <w:rPr>
                <w:b w:val="0"/>
              </w:rPr>
              <w:t>Macaflavone I</w:t>
            </w:r>
          </w:p>
        </w:tc>
        <w:tc>
          <w:tcPr>
            <w:tcW w:type="dxa" w:w="1378"/>
          </w:tcPr>
          <w:p>
            <w:pPr>
              <w:spacing w:after="0" w:before="0"/>
            </w:pPr>
            <w:r/>
            <w:r>
              <w:rPr>
                <w:b w:val="0"/>
              </w:rPr>
              <w:t>31</w:t>
            </w:r>
          </w:p>
        </w:tc>
        <w:tc>
          <w:tcPr>
            <w:tcW w:type="dxa" w:w="1378"/>
          </w:tcPr>
          <w:p>
            <w:pPr>
              <w:spacing w:after="0" w:before="0"/>
            </w:pPr>
            <w:r/>
            <w:r>
              <w:rPr>
                <w:b w:val="0"/>
              </w:rPr>
              <w:t>34</w:t>
            </w:r>
          </w:p>
        </w:tc>
        <w:tc>
          <w:tcPr>
            <w:tcW w:type="dxa" w:w="1378"/>
          </w:tcPr>
          <w:p>
            <w:pPr>
              <w:spacing w:after="0" w:before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378"/>
          </w:tcPr>
          <w:p>
            <w:pPr>
              <w:spacing w:after="0" w:before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378"/>
          </w:tcPr>
          <w:p>
            <w:pPr>
              <w:spacing w:after="0" w:before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378"/>
          </w:tcPr>
          <w:p>
            <w:pPr>
              <w:spacing w:after="0" w:before="0"/>
            </w:pPr>
            <w:r/>
            <w:r>
              <w:rPr>
                <w:b w:val="0"/>
              </w:rPr>
              <w:t>1</w:t>
            </w:r>
          </w:p>
        </w:tc>
      </w:tr>
      <w:tr>
        <w:tc>
          <w:tcPr>
            <w:tcW w:type="dxa" w:w="1378"/>
          </w:tcPr>
          <w:p>
            <w:pPr>
              <w:spacing w:after="0" w:before="0"/>
            </w:pPr>
            <w:r/>
            <w:r>
              <w:rPr>
                <w:b w:val="0"/>
              </w:rPr>
              <w:t>Macaflavone II</w:t>
            </w:r>
          </w:p>
        </w:tc>
        <w:tc>
          <w:tcPr>
            <w:tcW w:type="dxa" w:w="1378"/>
          </w:tcPr>
          <w:p>
            <w:pPr>
              <w:spacing w:after="0" w:before="0"/>
            </w:pPr>
            <w:r/>
            <w:r>
              <w:rPr>
                <w:b w:val="0"/>
              </w:rPr>
              <w:t>32</w:t>
            </w:r>
          </w:p>
        </w:tc>
        <w:tc>
          <w:tcPr>
            <w:tcW w:type="dxa" w:w="1378"/>
          </w:tcPr>
          <w:p>
            <w:pPr>
              <w:spacing w:after="0" w:before="0"/>
            </w:pPr>
            <w:r/>
            <w:r>
              <w:rPr>
                <w:b w:val="0"/>
              </w:rPr>
              <w:t>35</w:t>
            </w:r>
          </w:p>
        </w:tc>
        <w:tc>
          <w:tcPr>
            <w:tcW w:type="dxa" w:w="1378"/>
          </w:tcPr>
          <w:p>
            <w:pPr>
              <w:spacing w:after="0" w:before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378"/>
          </w:tcPr>
          <w:p>
            <w:pPr>
              <w:spacing w:after="0" w:before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378"/>
          </w:tcPr>
          <w:p>
            <w:pPr>
              <w:spacing w:after="0" w:before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378"/>
          </w:tcPr>
          <w:p>
            <w:pPr>
              <w:spacing w:after="0" w:before="0"/>
            </w:pPr>
            <w:r/>
            <w:r>
              <w:rPr>
                <w:b w:val="0"/>
              </w:rPr>
              <w:t>1</w:t>
            </w:r>
          </w:p>
        </w:tc>
      </w:tr>
      <w:tr>
        <w:tc>
          <w:tcPr>
            <w:tcW w:type="dxa" w:w="1378"/>
          </w:tcPr>
          <w:p>
            <w:pPr>
              <w:spacing w:after="0" w:before="0"/>
            </w:pPr>
            <w:r/>
            <w:r>
              <w:rPr>
                <w:b w:val="0"/>
              </w:rPr>
              <w:t>Venetoclax</w:t>
            </w:r>
          </w:p>
        </w:tc>
        <w:tc>
          <w:tcPr>
            <w:tcW w:type="dxa" w:w="1378"/>
          </w:tcPr>
          <w:p>
            <w:pPr>
              <w:spacing w:after="0" w:before="0"/>
            </w:pPr>
            <w:r/>
            <w:r>
              <w:rPr>
                <w:b w:val="0"/>
              </w:rPr>
              <w:t>61</w:t>
            </w:r>
          </w:p>
        </w:tc>
        <w:tc>
          <w:tcPr>
            <w:tcW w:type="dxa" w:w="1378"/>
          </w:tcPr>
          <w:p>
            <w:pPr>
              <w:spacing w:after="0" w:before="0"/>
            </w:pPr>
            <w:r/>
            <w:r>
              <w:rPr>
                <w:b w:val="0"/>
              </w:rPr>
              <w:t>68</w:t>
            </w:r>
          </w:p>
        </w:tc>
        <w:tc>
          <w:tcPr>
            <w:tcW w:type="dxa" w:w="1378"/>
          </w:tcPr>
          <w:p>
            <w:pPr>
              <w:spacing w:after="0" w:before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378"/>
          </w:tcPr>
          <w:p>
            <w:pPr>
              <w:spacing w:after="0" w:before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378"/>
          </w:tcPr>
          <w:p>
            <w:pPr>
              <w:spacing w:after="0" w:before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378"/>
          </w:tcPr>
          <w:p>
            <w:pPr>
              <w:spacing w:after="0" w:before="0"/>
            </w:pPr>
            <w:r/>
            <w:r>
              <w:rPr>
                <w:b w:val="0"/>
              </w:rPr>
              <w:t>1</w:t>
            </w:r>
          </w:p>
        </w:tc>
      </w:tr>
      <w:tr>
        <w:tc>
          <w:tcPr>
            <w:tcW w:type="dxa" w:w="1378"/>
          </w:tcPr>
          <w:p>
            <w:pPr>
              <w:spacing w:after="0" w:before="0"/>
            </w:pPr>
            <w:r/>
            <w:r>
              <w:rPr>
                <w:b w:val="0"/>
              </w:rPr>
              <w:t>BFC1103</w:t>
            </w:r>
          </w:p>
        </w:tc>
        <w:tc>
          <w:tcPr>
            <w:tcW w:type="dxa" w:w="1378"/>
          </w:tcPr>
          <w:p>
            <w:pPr>
              <w:spacing w:after="0" w:before="0"/>
            </w:pPr>
            <w:r/>
            <w:r>
              <w:rPr>
                <w:b w:val="0"/>
              </w:rPr>
              <w:t>26</w:t>
            </w:r>
          </w:p>
        </w:tc>
        <w:tc>
          <w:tcPr>
            <w:tcW w:type="dxa" w:w="1378"/>
          </w:tcPr>
          <w:p>
            <w:pPr>
              <w:spacing w:after="0" w:before="0"/>
            </w:pPr>
            <w:r/>
            <w:r>
              <w:rPr>
                <w:b w:val="0"/>
              </w:rPr>
              <w:t>27</w:t>
            </w:r>
          </w:p>
        </w:tc>
        <w:tc>
          <w:tcPr>
            <w:tcW w:type="dxa" w:w="1378"/>
          </w:tcPr>
          <w:p>
            <w:pPr>
              <w:spacing w:after="0" w:before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1378"/>
          </w:tcPr>
          <w:p>
            <w:pPr>
              <w:spacing w:after="0" w:before="0"/>
            </w:pPr>
            <w:r/>
            <w:r>
              <w:rPr>
                <w:b w:val="0"/>
              </w:rPr>
              <w:t>0</w:t>
            </w:r>
          </w:p>
        </w:tc>
        <w:tc>
          <w:tcPr>
            <w:tcW w:type="dxa" w:w="1378"/>
          </w:tcPr>
          <w:p>
            <w:pPr>
              <w:spacing w:after="0" w:before="0"/>
            </w:pPr>
            <w:r/>
            <w:r>
              <w:rPr>
                <w:b w:val="0"/>
              </w:rPr>
              <w:t>0</w:t>
            </w:r>
          </w:p>
        </w:tc>
        <w:tc>
          <w:tcPr>
            <w:tcW w:type="dxa" w:w="1378"/>
          </w:tcPr>
          <w:p>
            <w:pPr>
              <w:spacing w:after="0" w:before="0"/>
            </w:pPr>
            <w:r/>
            <w:r>
              <w:rPr>
                <w:b w:val="0"/>
              </w:rPr>
              <w:t>1</w:t>
            </w:r>
          </w:p>
        </w:tc>
      </w:tr>
      <w:tr>
        <w:tc>
          <w:tcPr>
            <w:tcW w:type="dxa" w:w="1378"/>
          </w:tcPr>
          <w:p>
            <w:pPr>
              <w:spacing w:after="0" w:before="0"/>
            </w:pPr>
            <w:r/>
            <w:r>
              <w:rPr>
                <w:b w:val="0"/>
              </w:rPr>
              <w:t>BFC1108</w:t>
            </w:r>
          </w:p>
        </w:tc>
        <w:tc>
          <w:tcPr>
            <w:tcW w:type="dxa" w:w="1378"/>
          </w:tcPr>
          <w:p>
            <w:pPr>
              <w:spacing w:after="0" w:before="0"/>
            </w:pPr>
            <w:r/>
            <w:r>
              <w:rPr>
                <w:b w:val="0"/>
              </w:rPr>
              <w:t>30</w:t>
            </w:r>
          </w:p>
        </w:tc>
        <w:tc>
          <w:tcPr>
            <w:tcW w:type="dxa" w:w="1378"/>
          </w:tcPr>
          <w:p>
            <w:pPr>
              <w:spacing w:after="0" w:before="0"/>
            </w:pPr>
            <w:r/>
            <w:r>
              <w:rPr>
                <w:b w:val="0"/>
              </w:rPr>
              <w:t>32</w:t>
            </w:r>
          </w:p>
        </w:tc>
        <w:tc>
          <w:tcPr>
            <w:tcW w:type="dxa" w:w="1378"/>
          </w:tcPr>
          <w:p>
            <w:pPr>
              <w:spacing w:after="0" w:before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1378"/>
          </w:tcPr>
          <w:p>
            <w:pPr>
              <w:spacing w:after="0" w:before="0"/>
            </w:pPr>
            <w:r/>
            <w:r>
              <w:rPr>
                <w:b w:val="0"/>
              </w:rPr>
              <w:t>0</w:t>
            </w:r>
          </w:p>
        </w:tc>
        <w:tc>
          <w:tcPr>
            <w:tcW w:type="dxa" w:w="1378"/>
          </w:tcPr>
          <w:p>
            <w:pPr>
              <w:spacing w:after="0" w:before="0"/>
            </w:pPr>
            <w:r/>
            <w:r>
              <w:rPr>
                <w:b w:val="0"/>
              </w:rPr>
              <w:t>0</w:t>
            </w:r>
          </w:p>
        </w:tc>
        <w:tc>
          <w:tcPr>
            <w:tcW w:type="dxa" w:w="1378"/>
          </w:tcPr>
          <w:p>
            <w:pPr>
              <w:spacing w:after="0" w:before="0"/>
            </w:pPr>
            <w:r/>
            <w:r>
              <w:rPr>
                <w:b w:val="0"/>
              </w:rPr>
              <w:t>1</w:t>
            </w:r>
          </w:p>
        </w:tc>
      </w:tr>
    </w:tbl>
    <w:p>
      <w:pPr>
        <w:spacing w:after="120"/>
      </w:pPr>
    </w:p>
    <w:p>
      <w:pPr>
        <w:spacing w:after="120"/>
      </w:pPr>
      <w:r>
        <w:t>Candidate code: 1 = Macaflavone candidate; 2 = canonical BCL-2 reference control; 3 = comparator ligand. For Docking / Pilot MD / GNN prediction, 1 = used and 0 = not used.</w:t>
      </w:r>
    </w:p>
    <w:p>
      <w:pPr>
        <w:pStyle w:val="Heading2"/>
        <w:spacing w:after="120"/>
      </w:pPr>
      <w:r>
        <w:t>2.2 Ligand and target preparation, docking, pilot MD, and GNN setup</w:t>
      </w:r>
    </w:p>
    <w:p>
      <w:pPr>
        <w:spacing w:after="120"/>
      </w:pPr>
      <w:r>
        <w:t>Ligands were standardized from curated molecular structures and prepared in docking- and MD-compatible formats. The BCL-2 model was prepared with the canonical groove as the main docking region and a negative region as a comparison site. Selected complexes were propagated through pilot MD, consisting of a 0.05 ns smoke test followed by extension to 0.20 ns for prioritized systems.</w:t>
      </w:r>
    </w:p>
    <w:p>
      <w:pPr>
        <w:spacing w:after="120"/>
      </w:pPr>
      <w:r>
        <w:t>For machine learning, a ligand-based GIN-like graph neural network was trained on a curated ChEMBL BCL-2 dataset. The model operated on molecular graphs and predicted pActivity values using message passing and graph-level pooling. Baselines based on Morgan fingerprint Random Forest and Ridge regression were retained for comparison.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577840" cy="31392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gand_based_gnn_architecture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9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</w:rPr>
        <w:t>Figure 2. Ligand-based GNN architecture for BCL-2 prioritization.</w:t>
      </w:r>
    </w:p>
    <w:p>
      <w:pPr>
        <w:spacing w:after="120"/>
      </w:pPr>
      <w:r>
        <w:rPr>
          <w:b/>
        </w:rPr>
        <w:t>Table 2. Computational setup and dataset summary.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after="0" w:before="0"/>
            </w:pPr>
            <w:r/>
            <w:r>
              <w:rPr>
                <w:b/>
              </w:rPr>
              <w:t>Component</w:t>
            </w:r>
          </w:p>
        </w:tc>
        <w:tc>
          <w:tcPr>
            <w:tcW w:type="dxa" w:w="4824"/>
          </w:tcPr>
          <w:p>
            <w:pPr>
              <w:spacing w:after="0" w:before="0"/>
            </w:pPr>
            <w:r/>
            <w:r>
              <w:rPr>
                <w:b/>
              </w:rPr>
              <w:t>Number / setting</w:t>
            </w:r>
          </w:p>
        </w:tc>
      </w:tr>
      <w:tr>
        <w:tc>
          <w:tcPr>
            <w:tcW w:type="dxa" w:w="4824"/>
          </w:tcPr>
          <w:p>
            <w:pPr>
              <w:spacing w:after="0" w:before="0"/>
            </w:pPr>
            <w:r/>
            <w:r>
              <w:rPr>
                <w:b w:val="0"/>
              </w:rPr>
              <w:t>Macaflavone candidates</w:t>
            </w:r>
          </w:p>
        </w:tc>
        <w:tc>
          <w:tcPr>
            <w:tcW w:type="dxa" w:w="4824"/>
          </w:tcPr>
          <w:p>
            <w:pPr>
              <w:spacing w:after="0" w:before="0"/>
            </w:pPr>
            <w:r/>
            <w:r>
              <w:rPr>
                <w:b w:val="0"/>
              </w:rPr>
              <w:t>2</w:t>
            </w:r>
          </w:p>
        </w:tc>
      </w:tr>
      <w:tr>
        <w:tc>
          <w:tcPr>
            <w:tcW w:type="dxa" w:w="4824"/>
          </w:tcPr>
          <w:p>
            <w:pPr>
              <w:spacing w:after="0" w:before="0"/>
            </w:pPr>
            <w:r/>
            <w:r>
              <w:rPr>
                <w:b w:val="0"/>
              </w:rPr>
              <w:t>Canonical reference control</w:t>
            </w:r>
          </w:p>
        </w:tc>
        <w:tc>
          <w:tcPr>
            <w:tcW w:type="dxa" w:w="4824"/>
          </w:tcPr>
          <w:p>
            <w:pPr>
              <w:spacing w:after="0" w:before="0"/>
            </w:pPr>
            <w:r/>
            <w:r>
              <w:rPr>
                <w:b w:val="0"/>
              </w:rPr>
              <w:t>1</w:t>
            </w:r>
          </w:p>
        </w:tc>
      </w:tr>
      <w:tr>
        <w:tc>
          <w:tcPr>
            <w:tcW w:type="dxa" w:w="4824"/>
          </w:tcPr>
          <w:p>
            <w:pPr>
              <w:spacing w:after="0" w:before="0"/>
            </w:pPr>
            <w:r/>
            <w:r>
              <w:rPr>
                <w:b w:val="0"/>
              </w:rPr>
              <w:t>Comparator ligands</w:t>
            </w:r>
          </w:p>
        </w:tc>
        <w:tc>
          <w:tcPr>
            <w:tcW w:type="dxa" w:w="4824"/>
          </w:tcPr>
          <w:p>
            <w:pPr>
              <w:spacing w:after="0" w:before="0"/>
            </w:pPr>
            <w:r/>
            <w:r>
              <w:rPr>
                <w:b w:val="0"/>
              </w:rPr>
              <w:t>2</w:t>
            </w:r>
          </w:p>
        </w:tc>
      </w:tr>
      <w:tr>
        <w:tc>
          <w:tcPr>
            <w:tcW w:type="dxa" w:w="4824"/>
          </w:tcPr>
          <w:p>
            <w:pPr>
              <w:spacing w:after="0" w:before="0"/>
            </w:pPr>
            <w:r/>
            <w:r>
              <w:rPr>
                <w:b w:val="0"/>
              </w:rPr>
              <w:t>Total external ligands</w:t>
            </w:r>
          </w:p>
        </w:tc>
        <w:tc>
          <w:tcPr>
            <w:tcW w:type="dxa" w:w="4824"/>
          </w:tcPr>
          <w:p>
            <w:pPr>
              <w:spacing w:after="0" w:before="0"/>
            </w:pPr>
            <w:r/>
            <w:r>
              <w:rPr>
                <w:b w:val="0"/>
              </w:rPr>
              <w:t>5</w:t>
            </w:r>
          </w:p>
        </w:tc>
      </w:tr>
      <w:tr>
        <w:tc>
          <w:tcPr>
            <w:tcW w:type="dxa" w:w="4824"/>
          </w:tcPr>
          <w:p>
            <w:pPr>
              <w:spacing w:after="0" w:before="0"/>
            </w:pPr>
            <w:r/>
            <w:r>
              <w:rPr>
                <w:b w:val="0"/>
              </w:rPr>
              <w:t>Main docking region</w:t>
            </w:r>
          </w:p>
        </w:tc>
        <w:tc>
          <w:tcPr>
            <w:tcW w:type="dxa" w:w="4824"/>
          </w:tcPr>
          <w:p>
            <w:pPr>
              <w:spacing w:after="0" w:before="0"/>
            </w:pPr>
            <w:r/>
            <w:r>
              <w:rPr>
                <w:b w:val="0"/>
              </w:rPr>
              <w:t>1</w:t>
            </w:r>
          </w:p>
        </w:tc>
      </w:tr>
      <w:tr>
        <w:tc>
          <w:tcPr>
            <w:tcW w:type="dxa" w:w="4824"/>
          </w:tcPr>
          <w:p>
            <w:pPr>
              <w:spacing w:after="0" w:before="0"/>
            </w:pPr>
            <w:r/>
            <w:r>
              <w:rPr>
                <w:b w:val="0"/>
              </w:rPr>
              <w:t>Comparison docking region</w:t>
            </w:r>
          </w:p>
        </w:tc>
        <w:tc>
          <w:tcPr>
            <w:tcW w:type="dxa" w:w="4824"/>
          </w:tcPr>
          <w:p>
            <w:pPr>
              <w:spacing w:after="0" w:before="0"/>
            </w:pPr>
            <w:r/>
            <w:r>
              <w:rPr>
                <w:b w:val="0"/>
              </w:rPr>
              <w:t>1</w:t>
            </w:r>
          </w:p>
        </w:tc>
      </w:tr>
      <w:tr>
        <w:tc>
          <w:tcPr>
            <w:tcW w:type="dxa" w:w="4824"/>
          </w:tcPr>
          <w:p>
            <w:pPr>
              <w:spacing w:after="0" w:before="0"/>
            </w:pPr>
            <w:r/>
            <w:r>
              <w:rPr>
                <w:b w:val="0"/>
              </w:rPr>
              <w:t>Pilot MD systems</w:t>
            </w:r>
          </w:p>
        </w:tc>
        <w:tc>
          <w:tcPr>
            <w:tcW w:type="dxa" w:w="4824"/>
          </w:tcPr>
          <w:p>
            <w:pPr>
              <w:spacing w:after="0" w:before="0"/>
            </w:pPr>
            <w:r/>
            <w:r>
              <w:rPr>
                <w:b w:val="0"/>
              </w:rPr>
              <w:t>4</w:t>
            </w:r>
          </w:p>
        </w:tc>
      </w:tr>
      <w:tr>
        <w:tc>
          <w:tcPr>
            <w:tcW w:type="dxa" w:w="4824"/>
          </w:tcPr>
          <w:p>
            <w:pPr>
              <w:spacing w:after="0" w:before="0"/>
            </w:pPr>
            <w:r/>
            <w:r>
              <w:rPr>
                <w:b w:val="0"/>
              </w:rPr>
              <w:t>Smoke-test MD duration</w:t>
            </w:r>
          </w:p>
        </w:tc>
        <w:tc>
          <w:tcPr>
            <w:tcW w:type="dxa" w:w="4824"/>
          </w:tcPr>
          <w:p>
            <w:pPr>
              <w:spacing w:after="0" w:before="0"/>
            </w:pPr>
            <w:r/>
            <w:r>
              <w:rPr>
                <w:b w:val="0"/>
              </w:rPr>
              <w:t>0.05 ns</w:t>
            </w:r>
          </w:p>
        </w:tc>
      </w:tr>
      <w:tr>
        <w:tc>
          <w:tcPr>
            <w:tcW w:type="dxa" w:w="4824"/>
          </w:tcPr>
          <w:p>
            <w:pPr>
              <w:spacing w:after="0" w:before="0"/>
            </w:pPr>
            <w:r/>
            <w:r>
              <w:rPr>
                <w:b w:val="0"/>
              </w:rPr>
              <w:t>Extended pilot MD duration</w:t>
            </w:r>
          </w:p>
        </w:tc>
        <w:tc>
          <w:tcPr>
            <w:tcW w:type="dxa" w:w="4824"/>
          </w:tcPr>
          <w:p>
            <w:pPr>
              <w:spacing w:after="0" w:before="0"/>
            </w:pPr>
            <w:r/>
            <w:r>
              <w:rPr>
                <w:b w:val="0"/>
              </w:rPr>
              <w:t>0.20 ns</w:t>
            </w:r>
          </w:p>
        </w:tc>
      </w:tr>
      <w:tr>
        <w:tc>
          <w:tcPr>
            <w:tcW w:type="dxa" w:w="4824"/>
          </w:tcPr>
          <w:p>
            <w:pPr>
              <w:spacing w:after="0" w:before="0"/>
            </w:pPr>
            <w:r/>
            <w:r>
              <w:rPr>
                <w:b w:val="0"/>
              </w:rPr>
              <w:t>ChEMBL BCL-2 raw activity records</w:t>
            </w:r>
          </w:p>
        </w:tc>
        <w:tc>
          <w:tcPr>
            <w:tcW w:type="dxa" w:w="4824"/>
          </w:tcPr>
          <w:p>
            <w:pPr>
              <w:spacing w:after="0" w:before="0"/>
            </w:pPr>
            <w:r/>
            <w:r>
              <w:rPr>
                <w:b w:val="0"/>
              </w:rPr>
              <w:t>15,736</w:t>
            </w:r>
          </w:p>
        </w:tc>
      </w:tr>
      <w:tr>
        <w:tc>
          <w:tcPr>
            <w:tcW w:type="dxa" w:w="4824"/>
          </w:tcPr>
          <w:p>
            <w:pPr>
              <w:spacing w:after="0" w:before="0"/>
            </w:pPr>
            <w:r/>
            <w:r>
              <w:rPr>
                <w:b w:val="0"/>
              </w:rPr>
              <w:t>Cleaned records before deduplication</w:t>
            </w:r>
          </w:p>
        </w:tc>
        <w:tc>
          <w:tcPr>
            <w:tcW w:type="dxa" w:w="4824"/>
          </w:tcPr>
          <w:p>
            <w:pPr>
              <w:spacing w:after="0" w:before="0"/>
            </w:pPr>
            <w:r/>
            <w:r>
              <w:rPr>
                <w:b w:val="0"/>
              </w:rPr>
              <w:t>5,906</w:t>
            </w:r>
          </w:p>
        </w:tc>
      </w:tr>
      <w:tr>
        <w:tc>
          <w:tcPr>
            <w:tcW w:type="dxa" w:w="4824"/>
          </w:tcPr>
          <w:p>
            <w:pPr>
              <w:spacing w:after="0" w:before="0"/>
            </w:pPr>
            <w:r/>
            <w:r>
              <w:rPr>
                <w:b w:val="0"/>
              </w:rPr>
              <w:t>RDKit-valid unique molecules</w:t>
            </w:r>
          </w:p>
        </w:tc>
        <w:tc>
          <w:tcPr>
            <w:tcW w:type="dxa" w:w="4824"/>
          </w:tcPr>
          <w:p>
            <w:pPr>
              <w:spacing w:after="0" w:before="0"/>
            </w:pPr>
            <w:r/>
            <w:r>
              <w:rPr>
                <w:b w:val="0"/>
              </w:rPr>
              <w:t>3,173</w:t>
            </w:r>
          </w:p>
        </w:tc>
      </w:tr>
      <w:tr>
        <w:tc>
          <w:tcPr>
            <w:tcW w:type="dxa" w:w="4824"/>
          </w:tcPr>
          <w:p>
            <w:pPr>
              <w:spacing w:after="0" w:before="0"/>
            </w:pPr>
            <w:r/>
            <w:r>
              <w:rPr>
                <w:b w:val="0"/>
              </w:rPr>
              <w:t>Training molecules</w:t>
            </w:r>
          </w:p>
        </w:tc>
        <w:tc>
          <w:tcPr>
            <w:tcW w:type="dxa" w:w="4824"/>
          </w:tcPr>
          <w:p>
            <w:pPr>
              <w:spacing w:after="0" w:before="0"/>
            </w:pPr>
            <w:r/>
            <w:r>
              <w:rPr>
                <w:b w:val="0"/>
              </w:rPr>
              <w:t>2,221</w:t>
            </w:r>
          </w:p>
        </w:tc>
      </w:tr>
      <w:tr>
        <w:tc>
          <w:tcPr>
            <w:tcW w:type="dxa" w:w="4824"/>
          </w:tcPr>
          <w:p>
            <w:pPr>
              <w:spacing w:after="0" w:before="0"/>
            </w:pPr>
            <w:r/>
            <w:r>
              <w:rPr>
                <w:b w:val="0"/>
              </w:rPr>
              <w:t>Validation molecules</w:t>
            </w:r>
          </w:p>
        </w:tc>
        <w:tc>
          <w:tcPr>
            <w:tcW w:type="dxa" w:w="4824"/>
          </w:tcPr>
          <w:p>
            <w:pPr>
              <w:spacing w:after="0" w:before="0"/>
            </w:pPr>
            <w:r/>
            <w:r>
              <w:rPr>
                <w:b w:val="0"/>
              </w:rPr>
              <w:t>475</w:t>
            </w:r>
          </w:p>
        </w:tc>
      </w:tr>
      <w:tr>
        <w:tc>
          <w:tcPr>
            <w:tcW w:type="dxa" w:w="4824"/>
          </w:tcPr>
          <w:p>
            <w:pPr>
              <w:spacing w:after="0" w:before="0"/>
            </w:pPr>
            <w:r/>
            <w:r>
              <w:rPr>
                <w:b w:val="0"/>
              </w:rPr>
              <w:t>Test molecules</w:t>
            </w:r>
          </w:p>
        </w:tc>
        <w:tc>
          <w:tcPr>
            <w:tcW w:type="dxa" w:w="4824"/>
          </w:tcPr>
          <w:p>
            <w:pPr>
              <w:spacing w:after="0" w:before="0"/>
            </w:pPr>
            <w:r/>
            <w:r>
              <w:rPr>
                <w:b w:val="0"/>
              </w:rPr>
              <w:t>477</w:t>
            </w:r>
          </w:p>
        </w:tc>
      </w:tr>
      <w:tr>
        <w:tc>
          <w:tcPr>
            <w:tcW w:type="dxa" w:w="4824"/>
          </w:tcPr>
          <w:p>
            <w:pPr>
              <w:spacing w:after="0" w:before="0"/>
            </w:pPr>
            <w:r/>
            <w:r>
              <w:rPr>
                <w:b w:val="0"/>
              </w:rPr>
              <w:t>GNN atom-feature dimension</w:t>
            </w:r>
          </w:p>
        </w:tc>
        <w:tc>
          <w:tcPr>
            <w:tcW w:type="dxa" w:w="4824"/>
          </w:tcPr>
          <w:p>
            <w:pPr>
              <w:spacing w:after="0" w:before="0"/>
            </w:pPr>
            <w:r/>
            <w:r>
              <w:rPr>
                <w:b w:val="0"/>
              </w:rPr>
              <w:t>35</w:t>
            </w:r>
          </w:p>
        </w:tc>
      </w:tr>
      <w:tr>
        <w:tc>
          <w:tcPr>
            <w:tcW w:type="dxa" w:w="4824"/>
          </w:tcPr>
          <w:p>
            <w:pPr>
              <w:spacing w:after="0" w:before="0"/>
            </w:pPr>
            <w:r/>
            <w:r>
              <w:rPr>
                <w:b w:val="0"/>
              </w:rPr>
              <w:t>GNN hidden dimension</w:t>
            </w:r>
          </w:p>
        </w:tc>
        <w:tc>
          <w:tcPr>
            <w:tcW w:type="dxa" w:w="4824"/>
          </w:tcPr>
          <w:p>
            <w:pPr>
              <w:spacing w:after="0" w:before="0"/>
            </w:pPr>
            <w:r/>
            <w:r>
              <w:rPr>
                <w:b w:val="0"/>
              </w:rPr>
              <w:t>128</w:t>
            </w:r>
          </w:p>
        </w:tc>
      </w:tr>
      <w:tr>
        <w:tc>
          <w:tcPr>
            <w:tcW w:type="dxa" w:w="4824"/>
          </w:tcPr>
          <w:p>
            <w:pPr>
              <w:spacing w:after="0" w:before="0"/>
            </w:pPr>
            <w:r/>
            <w:r>
              <w:rPr>
                <w:b w:val="0"/>
              </w:rPr>
              <w:t>GNN message-passing layers</w:t>
            </w:r>
          </w:p>
        </w:tc>
        <w:tc>
          <w:tcPr>
            <w:tcW w:type="dxa" w:w="4824"/>
          </w:tcPr>
          <w:p>
            <w:pPr>
              <w:spacing w:after="0" w:before="0"/>
            </w:pPr>
            <w:r/>
            <w:r>
              <w:rPr>
                <w:b w:val="0"/>
              </w:rPr>
              <w:t>3</w:t>
            </w:r>
          </w:p>
        </w:tc>
      </w:tr>
      <w:tr>
        <w:tc>
          <w:tcPr>
            <w:tcW w:type="dxa" w:w="4824"/>
          </w:tcPr>
          <w:p>
            <w:pPr>
              <w:spacing w:after="0" w:before="0"/>
            </w:pPr>
            <w:r/>
            <w:r>
              <w:rPr>
                <w:b w:val="0"/>
              </w:rPr>
              <w:t>Dropout</w:t>
            </w:r>
          </w:p>
        </w:tc>
        <w:tc>
          <w:tcPr>
            <w:tcW w:type="dxa" w:w="4824"/>
          </w:tcPr>
          <w:p>
            <w:pPr>
              <w:spacing w:after="0" w:before="0"/>
            </w:pPr>
            <w:r/>
            <w:r>
              <w:rPr>
                <w:b w:val="0"/>
              </w:rPr>
              <w:t>0.20</w:t>
            </w:r>
          </w:p>
        </w:tc>
      </w:tr>
      <w:tr>
        <w:tc>
          <w:tcPr>
            <w:tcW w:type="dxa" w:w="4824"/>
          </w:tcPr>
          <w:p>
            <w:pPr>
              <w:spacing w:after="0" w:before="0"/>
            </w:pPr>
            <w:r/>
            <w:r>
              <w:rPr>
                <w:b w:val="0"/>
              </w:rPr>
              <w:t>Maximum training epochs</w:t>
            </w:r>
          </w:p>
        </w:tc>
        <w:tc>
          <w:tcPr>
            <w:tcW w:type="dxa" w:w="4824"/>
          </w:tcPr>
          <w:p>
            <w:pPr>
              <w:spacing w:after="0" w:before="0"/>
            </w:pPr>
            <w:r/>
            <w:r>
              <w:rPr>
                <w:b w:val="0"/>
              </w:rPr>
              <w:t>200</w:t>
            </w:r>
          </w:p>
        </w:tc>
      </w:tr>
      <w:tr>
        <w:tc>
          <w:tcPr>
            <w:tcW w:type="dxa" w:w="4824"/>
          </w:tcPr>
          <w:p>
            <w:pPr>
              <w:spacing w:after="0" w:before="0"/>
            </w:pPr>
            <w:r/>
            <w:r>
              <w:rPr>
                <w:b w:val="0"/>
              </w:rPr>
              <w:t>Best GNN epoch</w:t>
            </w:r>
          </w:p>
        </w:tc>
        <w:tc>
          <w:tcPr>
            <w:tcW w:type="dxa" w:w="4824"/>
          </w:tcPr>
          <w:p>
            <w:pPr>
              <w:spacing w:after="0" w:before="0"/>
            </w:pPr>
            <w:r/>
            <w:r>
              <w:rPr>
                <w:b w:val="0"/>
              </w:rPr>
              <w:t>102</w:t>
            </w:r>
          </w:p>
        </w:tc>
      </w:tr>
    </w:tbl>
    <w:p>
      <w:pPr>
        <w:spacing w:after="120"/>
      </w:pPr>
    </w:p>
    <w:p>
      <w:pPr>
        <w:pStyle w:val="Heading1"/>
        <w:spacing w:after="120"/>
      </w:pPr>
      <w:r>
        <w:t>3. Results and Discussion</w:t>
      </w:r>
    </w:p>
    <w:p>
      <w:pPr>
        <w:pStyle w:val="Heading2"/>
        <w:spacing w:after="120"/>
      </w:pPr>
      <w:r>
        <w:t>3.1 Strict local docking and control benchmarking</w:t>
      </w:r>
    </w:p>
    <w:p>
      <w:pPr>
        <w:spacing w:after="120"/>
      </w:pPr>
      <w:r>
        <w:t>Docking showed that Venetoclax retained the strongest canonical-groove affinity, whereas Macaflavone II slightly outperformed Macaflavone I among the two natural-product candidates. The molecular panels below summarize site-focused docking views and ligand-specific interaction perspectives.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935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lecular_docking_comparison_with_inhibito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3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</w:rPr>
        <w:t>Figure 3. Strict local docking and control benchmarking with molecular views (panels a–f).</w:t>
      </w:r>
    </w:p>
    <w:p>
      <w:pPr>
        <w:spacing w:after="120"/>
      </w:pPr>
      <w:r>
        <w:rPr>
          <w:b/>
        </w:rPr>
        <w:t>Table 3. Selected docking results and canonical-groove contact summary.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pPr>
              <w:spacing w:after="0" w:before="0"/>
            </w:pPr>
            <w:r/>
            <w:r>
              <w:rPr>
                <w:b/>
              </w:rPr>
              <w:t>Ligand</w:t>
            </w:r>
          </w:p>
        </w:tc>
        <w:tc>
          <w:tcPr>
            <w:tcW w:type="dxa" w:w="1608"/>
          </w:tcPr>
          <w:p>
            <w:pPr>
              <w:spacing w:after="0" w:before="0"/>
            </w:pPr>
            <w:r/>
            <w:r>
              <w:rPr>
                <w:b/>
              </w:rPr>
              <w:t>Binding affinity (kcal/mol)</w:t>
            </w:r>
          </w:p>
        </w:tc>
        <w:tc>
          <w:tcPr>
            <w:tcW w:type="dxa" w:w="1608"/>
          </w:tcPr>
          <w:p>
            <w:pPr>
              <w:spacing w:after="0" w:before="0"/>
            </w:pPr>
            <w:r/>
            <w:r>
              <w:rPr>
                <w:b/>
              </w:rPr>
              <w:t>Strict valid poses</w:t>
            </w:r>
          </w:p>
        </w:tc>
        <w:tc>
          <w:tcPr>
            <w:tcW w:type="dxa" w:w="1608"/>
          </w:tcPr>
          <w:p>
            <w:pPr>
              <w:spacing w:after="0" w:before="0"/>
            </w:pPr>
            <w:r/>
            <w:r>
              <w:rPr>
                <w:b/>
              </w:rPr>
              <w:t>Target contact residues</w:t>
            </w:r>
          </w:p>
        </w:tc>
        <w:tc>
          <w:tcPr>
            <w:tcW w:type="dxa" w:w="1608"/>
          </w:tcPr>
          <w:p>
            <w:pPr>
              <w:spacing w:after="0" w:before="0"/>
            </w:pPr>
            <w:r/>
            <w:r>
              <w:rPr>
                <w:b/>
              </w:rPr>
              <w:t>Off-target contact ratio</w:t>
            </w:r>
          </w:p>
        </w:tc>
        <w:tc>
          <w:tcPr>
            <w:tcW w:type="dxa" w:w="1608"/>
          </w:tcPr>
          <w:p>
            <w:pPr>
              <w:spacing w:after="0" w:before="0"/>
            </w:pPr>
            <w:r/>
            <w:r>
              <w:rPr>
                <w:b/>
              </w:rPr>
              <w:t>Docking rank</w:t>
            </w:r>
          </w:p>
        </w:tc>
      </w:tr>
      <w:tr>
        <w:tc>
          <w:tcPr>
            <w:tcW w:type="dxa" w:w="1608"/>
          </w:tcPr>
          <w:p>
            <w:pPr>
              <w:spacing w:after="0" w:before="0"/>
            </w:pPr>
            <w:r/>
            <w:r>
              <w:rPr>
                <w:b w:val="0"/>
              </w:rPr>
              <w:t>Venetoclax</w:t>
            </w:r>
          </w:p>
        </w:tc>
        <w:tc>
          <w:tcPr>
            <w:tcW w:type="dxa" w:w="1608"/>
          </w:tcPr>
          <w:p>
            <w:pPr>
              <w:spacing w:after="0" w:before="0"/>
            </w:pPr>
            <w:r/>
            <w:r>
              <w:rPr>
                <w:b w:val="0"/>
              </w:rPr>
              <w:t>-9.093</w:t>
            </w:r>
          </w:p>
        </w:tc>
        <w:tc>
          <w:tcPr>
            <w:tcW w:type="dxa" w:w="1608"/>
          </w:tcPr>
          <w:p>
            <w:pPr>
              <w:spacing w:after="0" w:before="0"/>
            </w:pPr>
            <w:r/>
            <w:r>
              <w:rPr>
                <w:b w:val="0"/>
              </w:rPr>
              <w:t>20</w:t>
            </w:r>
          </w:p>
        </w:tc>
        <w:tc>
          <w:tcPr>
            <w:tcW w:type="dxa" w:w="1608"/>
          </w:tcPr>
          <w:p>
            <w:pPr>
              <w:spacing w:after="0" w:before="0"/>
            </w:pPr>
            <w:r/>
            <w:r>
              <w:rPr>
                <w:b w:val="0"/>
              </w:rPr>
              <w:t>12</w:t>
            </w:r>
          </w:p>
        </w:tc>
        <w:tc>
          <w:tcPr>
            <w:tcW w:type="dxa" w:w="1608"/>
          </w:tcPr>
          <w:p>
            <w:pPr>
              <w:spacing w:after="0" w:before="0"/>
            </w:pPr>
            <w:r/>
            <w:r>
              <w:rPr>
                <w:b w:val="0"/>
              </w:rPr>
              <w:t>0.455</w:t>
            </w:r>
          </w:p>
        </w:tc>
        <w:tc>
          <w:tcPr>
            <w:tcW w:type="dxa" w:w="1608"/>
          </w:tcPr>
          <w:p>
            <w:pPr>
              <w:spacing w:after="0" w:before="0"/>
            </w:pPr>
            <w:r/>
            <w:r>
              <w:rPr>
                <w:b w:val="0"/>
              </w:rPr>
              <w:t>1</w:t>
            </w:r>
          </w:p>
        </w:tc>
      </w:tr>
      <w:tr>
        <w:tc>
          <w:tcPr>
            <w:tcW w:type="dxa" w:w="1608"/>
          </w:tcPr>
          <w:p>
            <w:pPr>
              <w:spacing w:after="0" w:before="0"/>
            </w:pPr>
            <w:r/>
            <w:r>
              <w:rPr>
                <w:b w:val="0"/>
              </w:rPr>
              <w:t>Macaflavone II</w:t>
            </w:r>
          </w:p>
        </w:tc>
        <w:tc>
          <w:tcPr>
            <w:tcW w:type="dxa" w:w="1608"/>
          </w:tcPr>
          <w:p>
            <w:pPr>
              <w:spacing w:after="0" w:before="0"/>
            </w:pPr>
            <w:r/>
            <w:r>
              <w:rPr>
                <w:b w:val="0"/>
              </w:rPr>
              <w:t>-7.540</w:t>
            </w:r>
          </w:p>
        </w:tc>
        <w:tc>
          <w:tcPr>
            <w:tcW w:type="dxa" w:w="1608"/>
          </w:tcPr>
          <w:p>
            <w:pPr>
              <w:spacing w:after="0" w:before="0"/>
            </w:pPr>
            <w:r/>
            <w:r>
              <w:rPr>
                <w:b w:val="0"/>
              </w:rPr>
              <w:t>18</w:t>
            </w:r>
          </w:p>
        </w:tc>
        <w:tc>
          <w:tcPr>
            <w:tcW w:type="dxa" w:w="1608"/>
          </w:tcPr>
          <w:p>
            <w:pPr>
              <w:spacing w:after="0" w:before="0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1608"/>
          </w:tcPr>
          <w:p>
            <w:pPr>
              <w:spacing w:after="0" w:before="0"/>
            </w:pPr>
            <w:r/>
            <w:r>
              <w:rPr>
                <w:b w:val="0"/>
              </w:rPr>
              <w:t>0.385</w:t>
            </w:r>
          </w:p>
        </w:tc>
        <w:tc>
          <w:tcPr>
            <w:tcW w:type="dxa" w:w="1608"/>
          </w:tcPr>
          <w:p>
            <w:pPr>
              <w:spacing w:after="0" w:before="0"/>
            </w:pPr>
            <w:r/>
            <w:r>
              <w:rPr>
                <w:b w:val="0"/>
              </w:rPr>
              <w:t>2</w:t>
            </w:r>
          </w:p>
        </w:tc>
      </w:tr>
      <w:tr>
        <w:tc>
          <w:tcPr>
            <w:tcW w:type="dxa" w:w="1608"/>
          </w:tcPr>
          <w:p>
            <w:pPr>
              <w:spacing w:after="0" w:before="0"/>
            </w:pPr>
            <w:r/>
            <w:r>
              <w:rPr>
                <w:b w:val="0"/>
              </w:rPr>
              <w:t>Macaflavone I</w:t>
            </w:r>
          </w:p>
        </w:tc>
        <w:tc>
          <w:tcPr>
            <w:tcW w:type="dxa" w:w="1608"/>
          </w:tcPr>
          <w:p>
            <w:pPr>
              <w:spacing w:after="0" w:before="0"/>
            </w:pPr>
            <w:r/>
            <w:r>
              <w:rPr>
                <w:b w:val="0"/>
              </w:rPr>
              <w:t>-7.479</w:t>
            </w:r>
          </w:p>
        </w:tc>
        <w:tc>
          <w:tcPr>
            <w:tcW w:type="dxa" w:w="1608"/>
          </w:tcPr>
          <w:p>
            <w:pPr>
              <w:spacing w:after="0" w:before="0"/>
            </w:pPr>
            <w:r/>
            <w:r>
              <w:rPr>
                <w:b w:val="0"/>
              </w:rPr>
              <w:t>18</w:t>
            </w:r>
          </w:p>
        </w:tc>
        <w:tc>
          <w:tcPr>
            <w:tcW w:type="dxa" w:w="1608"/>
          </w:tcPr>
          <w:p>
            <w:pPr>
              <w:spacing w:after="0" w:before="0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1608"/>
          </w:tcPr>
          <w:p>
            <w:pPr>
              <w:spacing w:after="0" w:before="0"/>
            </w:pPr>
            <w:r/>
            <w:r>
              <w:rPr>
                <w:b w:val="0"/>
              </w:rPr>
              <w:t>0.385</w:t>
            </w:r>
          </w:p>
        </w:tc>
        <w:tc>
          <w:tcPr>
            <w:tcW w:type="dxa" w:w="1608"/>
          </w:tcPr>
          <w:p>
            <w:pPr>
              <w:spacing w:after="0" w:before="0"/>
            </w:pPr>
            <w:r/>
            <w:r>
              <w:rPr>
                <w:b w:val="0"/>
              </w:rPr>
              <w:t>3</w:t>
            </w:r>
          </w:p>
        </w:tc>
      </w:tr>
    </w:tbl>
    <w:p>
      <w:pPr>
        <w:spacing w:after="120"/>
      </w:pPr>
    </w:p>
    <w:p>
      <w:pPr>
        <w:pStyle w:val="Heading2"/>
        <w:spacing w:after="120"/>
      </w:pPr>
      <w:r>
        <w:t>3.2 Pilot molecular dynamics stability and interaction persistence</w:t>
      </w:r>
    </w:p>
    <w:p>
      <w:pPr>
        <w:spacing w:after="120"/>
      </w:pPr>
      <w:r>
        <w:t>Pilot MD was used as a short-timescale diagnostic layer. The updated Figure 4 is presented as a single line-graph-style summary to emphasize comparative dynamic behavior in one compact visual.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935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entific_analysis_of_molecular_behavi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3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</w:rPr>
        <w:t>Figure 4. Pilot molecular dynamics stability and interaction-persistence analysis presented as a single line-graph-based figure.</w:t>
      </w:r>
    </w:p>
    <w:p>
      <w:pPr>
        <w:spacing w:after="120"/>
      </w:pPr>
      <w:r>
        <w:rPr>
          <w:b/>
        </w:rPr>
        <w:t>Table 4. Pilot MD descriptor summary.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</w:tblGrid>
      <w:tr>
        <w:tc>
          <w:tcPr>
            <w:tcW w:type="dxa" w:w="877"/>
          </w:tcPr>
          <w:p>
            <w:pPr>
              <w:spacing w:after="0" w:before="0"/>
            </w:pPr>
            <w:r/>
            <w:r>
              <w:rPr>
                <w:b/>
              </w:rPr>
              <w:t>System</w:t>
            </w:r>
          </w:p>
        </w:tc>
        <w:tc>
          <w:tcPr>
            <w:tcW w:type="dxa" w:w="877"/>
          </w:tcPr>
          <w:p>
            <w:pPr>
              <w:spacing w:after="0" w:before="0"/>
            </w:pPr>
            <w:r/>
            <w:r>
              <w:rPr>
                <w:b/>
              </w:rPr>
              <w:t>Backbone RMSD mean (nm)</w:t>
            </w:r>
          </w:p>
        </w:tc>
        <w:tc>
          <w:tcPr>
            <w:tcW w:type="dxa" w:w="877"/>
          </w:tcPr>
          <w:p>
            <w:pPr>
              <w:spacing w:after="0" w:before="0"/>
            </w:pPr>
            <w:r/>
            <w:r>
              <w:rPr>
                <w:b/>
              </w:rPr>
              <w:t>Backbone RMSF mean (nm)</w:t>
            </w:r>
          </w:p>
        </w:tc>
        <w:tc>
          <w:tcPr>
            <w:tcW w:type="dxa" w:w="877"/>
          </w:tcPr>
          <w:p>
            <w:pPr>
              <w:spacing w:after="0" w:before="0"/>
            </w:pPr>
            <w:r/>
            <w:r>
              <w:rPr>
                <w:b/>
              </w:rPr>
              <w:t>Rg mean (nm)</w:t>
            </w:r>
          </w:p>
        </w:tc>
        <w:tc>
          <w:tcPr>
            <w:tcW w:type="dxa" w:w="877"/>
          </w:tcPr>
          <w:p>
            <w:pPr>
              <w:spacing w:after="0" w:before="0"/>
            </w:pPr>
            <w:r/>
            <w:r>
              <w:rPr>
                <w:b/>
              </w:rPr>
              <w:t>SASA mean (nm²)</w:t>
            </w:r>
          </w:p>
        </w:tc>
        <w:tc>
          <w:tcPr>
            <w:tcW w:type="dxa" w:w="877"/>
          </w:tcPr>
          <w:p>
            <w:pPr>
              <w:spacing w:after="0" w:before="0"/>
            </w:pPr>
            <w:r/>
            <w:r>
              <w:rPr>
                <w:b/>
              </w:rPr>
              <w:t>Ligand RMSD mean (nm)</w:t>
            </w:r>
          </w:p>
        </w:tc>
        <w:tc>
          <w:tcPr>
            <w:tcW w:type="dxa" w:w="877"/>
          </w:tcPr>
          <w:p>
            <w:pPr>
              <w:spacing w:after="0" w:before="0"/>
            </w:pPr>
            <w:r/>
            <w:r>
              <w:rPr>
                <w:b/>
              </w:rPr>
              <w:t>H-bond mean count</w:t>
            </w:r>
          </w:p>
        </w:tc>
        <w:tc>
          <w:tcPr>
            <w:tcW w:type="dxa" w:w="877"/>
          </w:tcPr>
          <w:p>
            <w:pPr>
              <w:spacing w:after="0" w:before="0"/>
            </w:pPr>
            <w:r/>
            <w:r>
              <w:rPr>
                <w:b/>
              </w:rPr>
              <w:t>Contact mean count</w:t>
            </w:r>
          </w:p>
        </w:tc>
        <w:tc>
          <w:tcPr>
            <w:tcW w:type="dxa" w:w="877"/>
          </w:tcPr>
          <w:p>
            <w:pPr>
              <w:spacing w:after="0" w:before="0"/>
            </w:pPr>
            <w:r/>
            <w:r>
              <w:rPr>
                <w:b/>
              </w:rPr>
              <w:t>Min distance mean (nm)</w:t>
            </w:r>
          </w:p>
        </w:tc>
        <w:tc>
          <w:tcPr>
            <w:tcW w:type="dxa" w:w="877"/>
          </w:tcPr>
          <w:p>
            <w:pPr>
              <w:spacing w:after="0" w:before="0"/>
            </w:pPr>
            <w:r/>
            <w:r>
              <w:rPr>
                <w:b/>
              </w:rPr>
              <w:t>Interaction rank</w:t>
            </w:r>
          </w:p>
        </w:tc>
        <w:tc>
          <w:tcPr>
            <w:tcW w:type="dxa" w:w="877"/>
          </w:tcPr>
          <w:p>
            <w:pPr>
              <w:spacing w:after="0" w:before="0"/>
            </w:pPr>
            <w:r/>
            <w:r>
              <w:rPr>
                <w:b/>
              </w:rPr>
              <w:t>Persistence score</w:t>
            </w:r>
          </w:p>
        </w:tc>
      </w:tr>
      <w:tr>
        <w:tc>
          <w:tcPr>
            <w:tcW w:type="dxa" w:w="877"/>
          </w:tcPr>
          <w:p>
            <w:pPr>
              <w:spacing w:after="0" w:before="0"/>
            </w:pPr>
            <w:r/>
            <w:r>
              <w:rPr>
                <w:b w:val="0"/>
              </w:rPr>
              <w:t>Macaflavone I canonical groove</w:t>
            </w:r>
          </w:p>
        </w:tc>
        <w:tc>
          <w:tcPr>
            <w:tcW w:type="dxa" w:w="877"/>
          </w:tcPr>
          <w:p>
            <w:pPr>
              <w:spacing w:after="0" w:before="0"/>
            </w:pPr>
            <w:r/>
            <w:r>
              <w:rPr>
                <w:b w:val="0"/>
              </w:rPr>
              <w:t>0.2240</w:t>
            </w:r>
          </w:p>
        </w:tc>
        <w:tc>
          <w:tcPr>
            <w:tcW w:type="dxa" w:w="877"/>
          </w:tcPr>
          <w:p>
            <w:pPr>
              <w:spacing w:after="0" w:before="0"/>
            </w:pPr>
            <w:r/>
            <w:r>
              <w:rPr>
                <w:b w:val="0"/>
              </w:rPr>
              <w:t>0.1635</w:t>
            </w:r>
          </w:p>
        </w:tc>
        <w:tc>
          <w:tcPr>
            <w:tcW w:type="dxa" w:w="877"/>
          </w:tcPr>
          <w:p>
            <w:pPr>
              <w:spacing w:after="0" w:before="0"/>
            </w:pPr>
            <w:r/>
            <w:r>
              <w:rPr>
                <w:b w:val="0"/>
              </w:rPr>
              <w:t>1.9656</w:t>
            </w:r>
          </w:p>
        </w:tc>
        <w:tc>
          <w:tcPr>
            <w:tcW w:type="dxa" w:w="877"/>
          </w:tcPr>
          <w:p>
            <w:pPr>
              <w:spacing w:after="0" w:before="0"/>
            </w:pPr>
            <w:r/>
            <w:r>
              <w:rPr>
                <w:b w:val="0"/>
              </w:rPr>
              <w:t>147.9445</w:t>
            </w:r>
          </w:p>
        </w:tc>
        <w:tc>
          <w:tcPr>
            <w:tcW w:type="dxa" w:w="877"/>
          </w:tcPr>
          <w:p>
            <w:pPr>
              <w:spacing w:after="0" w:before="0"/>
            </w:pPr>
            <w:r/>
            <w:r>
              <w:rPr>
                <w:b w:val="0"/>
              </w:rPr>
              <w:t>0.2324</w:t>
            </w:r>
          </w:p>
        </w:tc>
        <w:tc>
          <w:tcPr>
            <w:tcW w:type="dxa" w:w="877"/>
          </w:tcPr>
          <w:p>
            <w:pPr>
              <w:spacing w:after="0" w:before="0"/>
            </w:pPr>
            <w:r/>
            <w:r>
              <w:rPr>
                <w:b w:val="0"/>
              </w:rPr>
              <w:t>2.382</w:t>
            </w:r>
          </w:p>
        </w:tc>
        <w:tc>
          <w:tcPr>
            <w:tcW w:type="dxa" w:w="877"/>
          </w:tcPr>
          <w:p>
            <w:pPr>
              <w:spacing w:after="0" w:before="0"/>
            </w:pPr>
            <w:r/>
            <w:r>
              <w:rPr>
                <w:b w:val="0"/>
              </w:rPr>
              <w:t>126.363</w:t>
            </w:r>
          </w:p>
        </w:tc>
        <w:tc>
          <w:tcPr>
            <w:tcW w:type="dxa" w:w="877"/>
          </w:tcPr>
          <w:p>
            <w:pPr>
              <w:spacing w:after="0" w:before="0"/>
            </w:pPr>
            <w:r/>
            <w:r>
              <w:rPr>
                <w:b w:val="0"/>
              </w:rPr>
              <w:t>0.1633</w:t>
            </w:r>
          </w:p>
        </w:tc>
        <w:tc>
          <w:tcPr>
            <w:tcW w:type="dxa" w:w="877"/>
          </w:tcPr>
          <w:p>
            <w:pPr>
              <w:spacing w:after="0" w:before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877"/>
          </w:tcPr>
          <w:p>
            <w:pPr>
              <w:spacing w:after="0" w:before="0"/>
            </w:pPr>
            <w:r/>
            <w:r>
              <w:rPr>
                <w:b w:val="0"/>
              </w:rPr>
              <w:t>9</w:t>
            </w:r>
          </w:p>
        </w:tc>
      </w:tr>
      <w:tr>
        <w:tc>
          <w:tcPr>
            <w:tcW w:type="dxa" w:w="877"/>
          </w:tcPr>
          <w:p>
            <w:pPr>
              <w:spacing w:after="0" w:before="0"/>
            </w:pPr>
            <w:r/>
            <w:r>
              <w:rPr>
                <w:b w:val="0"/>
              </w:rPr>
              <w:t>Macaflavone II canonical groove</w:t>
            </w:r>
          </w:p>
        </w:tc>
        <w:tc>
          <w:tcPr>
            <w:tcW w:type="dxa" w:w="877"/>
          </w:tcPr>
          <w:p>
            <w:pPr>
              <w:spacing w:after="0" w:before="0"/>
            </w:pPr>
            <w:r/>
            <w:r>
              <w:rPr>
                <w:b w:val="0"/>
              </w:rPr>
              <w:t>0.2248</w:t>
            </w:r>
          </w:p>
        </w:tc>
        <w:tc>
          <w:tcPr>
            <w:tcW w:type="dxa" w:w="877"/>
          </w:tcPr>
          <w:p>
            <w:pPr>
              <w:spacing w:after="0" w:before="0"/>
            </w:pPr>
            <w:r/>
            <w:r>
              <w:rPr>
                <w:b w:val="0"/>
              </w:rPr>
              <w:t>0.1452</w:t>
            </w:r>
          </w:p>
        </w:tc>
        <w:tc>
          <w:tcPr>
            <w:tcW w:type="dxa" w:w="877"/>
          </w:tcPr>
          <w:p>
            <w:pPr>
              <w:spacing w:after="0" w:before="0"/>
            </w:pPr>
            <w:r/>
            <w:r>
              <w:rPr>
                <w:b w:val="0"/>
              </w:rPr>
              <w:t>1.9451</w:t>
            </w:r>
          </w:p>
        </w:tc>
        <w:tc>
          <w:tcPr>
            <w:tcW w:type="dxa" w:w="877"/>
          </w:tcPr>
          <w:p>
            <w:pPr>
              <w:spacing w:after="0" w:before="0"/>
            </w:pPr>
            <w:r/>
            <w:r>
              <w:rPr>
                <w:b w:val="0"/>
              </w:rPr>
              <w:t>143.7043</w:t>
            </w:r>
          </w:p>
        </w:tc>
        <w:tc>
          <w:tcPr>
            <w:tcW w:type="dxa" w:w="877"/>
          </w:tcPr>
          <w:p>
            <w:pPr>
              <w:spacing w:after="0" w:before="0"/>
            </w:pPr>
            <w:r/>
            <w:r>
              <w:rPr>
                <w:b w:val="0"/>
              </w:rPr>
              <w:t>0.2687</w:t>
            </w:r>
          </w:p>
        </w:tc>
        <w:tc>
          <w:tcPr>
            <w:tcW w:type="dxa" w:w="877"/>
          </w:tcPr>
          <w:p>
            <w:pPr>
              <w:spacing w:after="0" w:before="0"/>
            </w:pPr>
            <w:r/>
            <w:r>
              <w:rPr>
                <w:b w:val="0"/>
              </w:rPr>
              <w:t>2.392</w:t>
            </w:r>
          </w:p>
        </w:tc>
        <w:tc>
          <w:tcPr>
            <w:tcW w:type="dxa" w:w="877"/>
          </w:tcPr>
          <w:p>
            <w:pPr>
              <w:spacing w:after="0" w:before="0"/>
            </w:pPr>
            <w:r/>
            <w:r>
              <w:rPr>
                <w:b w:val="0"/>
              </w:rPr>
              <w:t>138.294</w:t>
            </w:r>
          </w:p>
        </w:tc>
        <w:tc>
          <w:tcPr>
            <w:tcW w:type="dxa" w:w="877"/>
          </w:tcPr>
          <w:p>
            <w:pPr>
              <w:spacing w:after="0" w:before="0"/>
            </w:pPr>
            <w:r/>
            <w:r>
              <w:rPr>
                <w:b w:val="0"/>
              </w:rPr>
              <w:t>0.1625</w:t>
            </w:r>
          </w:p>
        </w:tc>
        <w:tc>
          <w:tcPr>
            <w:tcW w:type="dxa" w:w="877"/>
          </w:tcPr>
          <w:p>
            <w:pPr>
              <w:spacing w:after="0" w:before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877"/>
          </w:tcPr>
          <w:p>
            <w:pPr>
              <w:spacing w:after="0" w:before="0"/>
            </w:pPr>
            <w:r/>
            <w:r>
              <w:rPr>
                <w:b w:val="0"/>
              </w:rPr>
              <w:t>7</w:t>
            </w:r>
          </w:p>
        </w:tc>
      </w:tr>
      <w:tr>
        <w:tc>
          <w:tcPr>
            <w:tcW w:type="dxa" w:w="877"/>
          </w:tcPr>
          <w:p>
            <w:pPr>
              <w:spacing w:after="0" w:before="0"/>
            </w:pPr>
            <w:r/>
            <w:r>
              <w:rPr>
                <w:b w:val="0"/>
              </w:rPr>
              <w:t>Venetoclax canonical control</w:t>
            </w:r>
          </w:p>
        </w:tc>
        <w:tc>
          <w:tcPr>
            <w:tcW w:type="dxa" w:w="877"/>
          </w:tcPr>
          <w:p>
            <w:pPr>
              <w:spacing w:after="0" w:before="0"/>
            </w:pPr>
            <w:r/>
            <w:r>
              <w:rPr>
                <w:b w:val="0"/>
              </w:rPr>
              <w:t>0.2176</w:t>
            </w:r>
          </w:p>
        </w:tc>
        <w:tc>
          <w:tcPr>
            <w:tcW w:type="dxa" w:w="877"/>
          </w:tcPr>
          <w:p>
            <w:pPr>
              <w:spacing w:after="0" w:before="0"/>
            </w:pPr>
            <w:r/>
            <w:r>
              <w:rPr>
                <w:b w:val="0"/>
              </w:rPr>
              <w:t>0.1467</w:t>
            </w:r>
          </w:p>
        </w:tc>
        <w:tc>
          <w:tcPr>
            <w:tcW w:type="dxa" w:w="877"/>
          </w:tcPr>
          <w:p>
            <w:pPr>
              <w:spacing w:after="0" w:before="0"/>
            </w:pPr>
            <w:r/>
            <w:r>
              <w:rPr>
                <w:b w:val="0"/>
              </w:rPr>
              <w:t>1.9061</w:t>
            </w:r>
          </w:p>
        </w:tc>
        <w:tc>
          <w:tcPr>
            <w:tcW w:type="dxa" w:w="877"/>
          </w:tcPr>
          <w:p>
            <w:pPr>
              <w:spacing w:after="0" w:before="0"/>
            </w:pPr>
            <w:r/>
            <w:r>
              <w:rPr>
                <w:b w:val="0"/>
              </w:rPr>
              <w:t>149.0017</w:t>
            </w:r>
          </w:p>
        </w:tc>
        <w:tc>
          <w:tcPr>
            <w:tcW w:type="dxa" w:w="877"/>
          </w:tcPr>
          <w:p>
            <w:pPr>
              <w:spacing w:after="0" w:before="0"/>
            </w:pPr>
            <w:r/>
            <w:r>
              <w:rPr>
                <w:b w:val="0"/>
              </w:rPr>
              <w:t>0.1691</w:t>
            </w:r>
          </w:p>
        </w:tc>
        <w:tc>
          <w:tcPr>
            <w:tcW w:type="dxa" w:w="877"/>
          </w:tcPr>
          <w:p>
            <w:pPr>
              <w:spacing w:after="0" w:before="0"/>
            </w:pPr>
            <w:r/>
            <w:r>
              <w:rPr>
                <w:b w:val="0"/>
              </w:rPr>
              <w:t>1.363</w:t>
            </w:r>
          </w:p>
        </w:tc>
        <w:tc>
          <w:tcPr>
            <w:tcW w:type="dxa" w:w="877"/>
          </w:tcPr>
          <w:p>
            <w:pPr>
              <w:spacing w:after="0" w:before="0"/>
            </w:pPr>
            <w:r/>
            <w:r>
              <w:rPr>
                <w:b w:val="0"/>
              </w:rPr>
              <w:t>239.990</w:t>
            </w:r>
          </w:p>
        </w:tc>
        <w:tc>
          <w:tcPr>
            <w:tcW w:type="dxa" w:w="877"/>
          </w:tcPr>
          <w:p>
            <w:pPr>
              <w:spacing w:after="0" w:before="0"/>
            </w:pPr>
            <w:r/>
            <w:r>
              <w:rPr>
                <w:b w:val="0"/>
              </w:rPr>
              <w:t>0.1954</w:t>
            </w:r>
          </w:p>
        </w:tc>
        <w:tc>
          <w:tcPr>
            <w:tcW w:type="dxa" w:w="877"/>
          </w:tcPr>
          <w:p>
            <w:pPr>
              <w:spacing w:after="0" w:before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877"/>
          </w:tcPr>
          <w:p>
            <w:pPr>
              <w:spacing w:after="0" w:before="0"/>
            </w:pPr>
            <w:r/>
            <w:r>
              <w:rPr>
                <w:b w:val="0"/>
              </w:rPr>
              <w:t>8</w:t>
            </w:r>
          </w:p>
        </w:tc>
      </w:tr>
    </w:tbl>
    <w:p>
      <w:pPr>
        <w:spacing w:after="120"/>
      </w:pPr>
    </w:p>
    <w:p>
      <w:pPr>
        <w:pStyle w:val="Heading2"/>
        <w:spacing w:after="120"/>
      </w:pPr>
      <w:r>
        <w:t>3.3 Molecular basis of integrated docking–MD prioritization</w:t>
      </w:r>
    </w:p>
    <w:p>
      <w:pPr>
        <w:spacing w:after="120"/>
      </w:pPr>
      <w:r>
        <w:t>Figure 5 converts the docking–MD prioritization matrix into a molecular representation. The figure highlights the reference-control pose of Venetoclax, the prioritized Macaflavone II pose, the secondary Macaflavone I pose, overlay analysis, and residue-contact evidence framing.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935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lecular_docking_comparison_of_ligan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3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</w:rPr>
        <w:t>Figure 5. Molecular basis of integrated docking–MD prioritization using the same ranking data as the previous matrix-based version.</w:t>
      </w:r>
    </w:p>
    <w:p>
      <w:pPr>
        <w:spacing w:after="120"/>
      </w:pPr>
      <w:r>
        <w:rPr>
          <w:b/>
        </w:rPr>
        <w:t>Table 5. Integrated docking–MD–GNN normalization matrix.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</w:tblGrid>
      <w:tr>
        <w:tc>
          <w:tcPr>
            <w:tcW w:type="dxa" w:w="965"/>
          </w:tcPr>
          <w:p>
            <w:pPr>
              <w:spacing w:after="0" w:before="0"/>
            </w:pPr>
            <w:r/>
            <w:r>
              <w:rPr>
                <w:b/>
              </w:rPr>
              <w:t>Ligand</w:t>
            </w:r>
          </w:p>
        </w:tc>
        <w:tc>
          <w:tcPr>
            <w:tcW w:type="dxa" w:w="965"/>
          </w:tcPr>
          <w:p>
            <w:pPr>
              <w:spacing w:after="0" w:before="0"/>
            </w:pPr>
            <w:r/>
            <w:r>
              <w:rPr>
                <w:b/>
              </w:rPr>
              <w:t>Docking affinity (kcal/mol)</w:t>
            </w:r>
          </w:p>
        </w:tc>
        <w:tc>
          <w:tcPr>
            <w:tcW w:type="dxa" w:w="965"/>
          </w:tcPr>
          <w:p>
            <w:pPr>
              <w:spacing w:after="0" w:before="0"/>
            </w:pPr>
            <w:r/>
            <w:r>
              <w:rPr>
                <w:b/>
              </w:rPr>
              <w:t>MD interaction rank</w:t>
            </w:r>
          </w:p>
        </w:tc>
        <w:tc>
          <w:tcPr>
            <w:tcW w:type="dxa" w:w="965"/>
          </w:tcPr>
          <w:p>
            <w:pPr>
              <w:spacing w:after="0" w:before="0"/>
            </w:pPr>
            <w:r/>
            <w:r>
              <w:rPr>
                <w:b/>
              </w:rPr>
              <w:t>MD persistence score</w:t>
            </w:r>
          </w:p>
        </w:tc>
        <w:tc>
          <w:tcPr>
            <w:tcW w:type="dxa" w:w="965"/>
          </w:tcPr>
          <w:p>
            <w:pPr>
              <w:spacing w:after="0" w:before="0"/>
            </w:pPr>
            <w:r/>
            <w:r>
              <w:rPr>
                <w:b/>
              </w:rPr>
              <w:t>Docking norm</w:t>
            </w:r>
          </w:p>
        </w:tc>
        <w:tc>
          <w:tcPr>
            <w:tcW w:type="dxa" w:w="965"/>
          </w:tcPr>
          <w:p>
            <w:pPr>
              <w:spacing w:after="0" w:before="0"/>
            </w:pPr>
            <w:r/>
            <w:r>
              <w:rPr>
                <w:b/>
              </w:rPr>
              <w:t>MD norm</w:t>
            </w:r>
          </w:p>
        </w:tc>
        <w:tc>
          <w:tcPr>
            <w:tcW w:type="dxa" w:w="965"/>
          </w:tcPr>
          <w:p>
            <w:pPr>
              <w:spacing w:after="0" w:before="0"/>
            </w:pPr>
            <w:r/>
            <w:r>
              <w:rPr>
                <w:b/>
              </w:rPr>
              <w:t>GNN norm</w:t>
            </w:r>
          </w:p>
        </w:tc>
        <w:tc>
          <w:tcPr>
            <w:tcW w:type="dxa" w:w="965"/>
          </w:tcPr>
          <w:p>
            <w:pPr>
              <w:spacing w:after="0" w:before="0"/>
            </w:pPr>
            <w:r/>
            <w:r>
              <w:rPr>
                <w:b/>
              </w:rPr>
              <w:t>AD norm</w:t>
            </w:r>
          </w:p>
        </w:tc>
        <w:tc>
          <w:tcPr>
            <w:tcW w:type="dxa" w:w="965"/>
          </w:tcPr>
          <w:p>
            <w:pPr>
              <w:spacing w:after="0" w:before="0"/>
            </w:pPr>
            <w:r/>
            <w:r>
              <w:rPr>
                <w:b/>
              </w:rPr>
              <w:t>Consensus score</w:t>
            </w:r>
          </w:p>
        </w:tc>
        <w:tc>
          <w:tcPr>
            <w:tcW w:type="dxa" w:w="965"/>
          </w:tcPr>
          <w:p>
            <w:pPr>
              <w:spacing w:after="0" w:before="0"/>
            </w:pPr>
            <w:r/>
            <w:r>
              <w:rPr>
                <w:b/>
              </w:rPr>
              <w:t>Consensus rank</w:t>
            </w:r>
          </w:p>
        </w:tc>
      </w:tr>
      <w:tr>
        <w:tc>
          <w:tcPr>
            <w:tcW w:type="dxa" w:w="965"/>
          </w:tcPr>
          <w:p>
            <w:pPr>
              <w:spacing w:after="0" w:before="0"/>
            </w:pPr>
            <w:r/>
            <w:r>
              <w:rPr>
                <w:b w:val="0"/>
              </w:rPr>
              <w:t>Venetoclax</w:t>
            </w:r>
          </w:p>
        </w:tc>
        <w:tc>
          <w:tcPr>
            <w:tcW w:type="dxa" w:w="965"/>
          </w:tcPr>
          <w:p>
            <w:pPr>
              <w:spacing w:after="0" w:before="0"/>
            </w:pPr>
            <w:r/>
            <w:r>
              <w:rPr>
                <w:b w:val="0"/>
              </w:rPr>
              <w:t>-9.093</w:t>
            </w:r>
          </w:p>
        </w:tc>
        <w:tc>
          <w:tcPr>
            <w:tcW w:type="dxa" w:w="965"/>
          </w:tcPr>
          <w:p>
            <w:pPr>
              <w:spacing w:after="0" w:before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965"/>
          </w:tcPr>
          <w:p>
            <w:pPr>
              <w:spacing w:after="0" w:before="0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965"/>
          </w:tcPr>
          <w:p>
            <w:pPr>
              <w:spacing w:after="0" w:before="0"/>
            </w:pPr>
            <w:r/>
            <w:r>
              <w:rPr>
                <w:b w:val="0"/>
              </w:rPr>
              <w:t>1.000</w:t>
            </w:r>
          </w:p>
        </w:tc>
        <w:tc>
          <w:tcPr>
            <w:tcW w:type="dxa" w:w="965"/>
          </w:tcPr>
          <w:p>
            <w:pPr>
              <w:spacing w:after="0" w:before="0"/>
            </w:pPr>
            <w:r/>
            <w:r>
              <w:rPr>
                <w:b w:val="0"/>
              </w:rPr>
              <w:t>0.500</w:t>
            </w:r>
          </w:p>
        </w:tc>
        <w:tc>
          <w:tcPr>
            <w:tcW w:type="dxa" w:w="965"/>
          </w:tcPr>
          <w:p>
            <w:pPr>
              <w:spacing w:after="0" w:before="0"/>
            </w:pPr>
            <w:r/>
            <w:r>
              <w:rPr>
                <w:b w:val="0"/>
              </w:rPr>
              <w:t>1.000</w:t>
            </w:r>
          </w:p>
        </w:tc>
        <w:tc>
          <w:tcPr>
            <w:tcW w:type="dxa" w:w="965"/>
          </w:tcPr>
          <w:p>
            <w:pPr>
              <w:spacing w:after="0" w:before="0"/>
            </w:pPr>
            <w:r/>
            <w:r>
              <w:rPr>
                <w:b w:val="0"/>
              </w:rPr>
              <w:t>1.000</w:t>
            </w:r>
          </w:p>
        </w:tc>
        <w:tc>
          <w:tcPr>
            <w:tcW w:type="dxa" w:w="965"/>
          </w:tcPr>
          <w:p>
            <w:pPr>
              <w:spacing w:after="0" w:before="0"/>
            </w:pPr>
            <w:r/>
            <w:r>
              <w:rPr>
                <w:b w:val="0"/>
              </w:rPr>
              <w:t>0.825</w:t>
            </w:r>
          </w:p>
        </w:tc>
        <w:tc>
          <w:tcPr>
            <w:tcW w:type="dxa" w:w="965"/>
          </w:tcPr>
          <w:p>
            <w:pPr>
              <w:spacing w:after="0" w:before="0"/>
            </w:pPr>
            <w:r/>
            <w:r>
              <w:rPr>
                <w:b w:val="0"/>
              </w:rPr>
              <w:t>1</w:t>
            </w:r>
          </w:p>
        </w:tc>
      </w:tr>
      <w:tr>
        <w:tc>
          <w:tcPr>
            <w:tcW w:type="dxa" w:w="965"/>
          </w:tcPr>
          <w:p>
            <w:pPr>
              <w:spacing w:after="0" w:before="0"/>
            </w:pPr>
            <w:r/>
            <w:r>
              <w:rPr>
                <w:b w:val="0"/>
              </w:rPr>
              <w:t>Macaflavone II</w:t>
            </w:r>
          </w:p>
        </w:tc>
        <w:tc>
          <w:tcPr>
            <w:tcW w:type="dxa" w:w="965"/>
          </w:tcPr>
          <w:p>
            <w:pPr>
              <w:spacing w:after="0" w:before="0"/>
            </w:pPr>
            <w:r/>
            <w:r>
              <w:rPr>
                <w:b w:val="0"/>
              </w:rPr>
              <w:t>-7.540</w:t>
            </w:r>
          </w:p>
        </w:tc>
        <w:tc>
          <w:tcPr>
            <w:tcW w:type="dxa" w:w="965"/>
          </w:tcPr>
          <w:p>
            <w:pPr>
              <w:spacing w:after="0" w:before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965"/>
          </w:tcPr>
          <w:p>
            <w:pPr>
              <w:spacing w:after="0" w:before="0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965"/>
          </w:tcPr>
          <w:p>
            <w:pPr>
              <w:spacing w:after="0" w:before="0"/>
            </w:pPr>
            <w:r/>
            <w:r>
              <w:rPr>
                <w:b w:val="0"/>
              </w:rPr>
              <w:t>0.038</w:t>
            </w:r>
          </w:p>
        </w:tc>
        <w:tc>
          <w:tcPr>
            <w:tcW w:type="dxa" w:w="965"/>
          </w:tcPr>
          <w:p>
            <w:pPr>
              <w:spacing w:after="0" w:before="0"/>
            </w:pPr>
            <w:r/>
            <w:r>
              <w:rPr>
                <w:b w:val="0"/>
              </w:rPr>
              <w:t>1.000</w:t>
            </w:r>
          </w:p>
        </w:tc>
        <w:tc>
          <w:tcPr>
            <w:tcW w:type="dxa" w:w="965"/>
          </w:tcPr>
          <w:p>
            <w:pPr>
              <w:spacing w:after="0" w:before="0"/>
            </w:pPr>
            <w:r/>
            <w:r>
              <w:rPr>
                <w:b w:val="0"/>
              </w:rPr>
              <w:t>0.000</w:t>
            </w:r>
          </w:p>
        </w:tc>
        <w:tc>
          <w:tcPr>
            <w:tcW w:type="dxa" w:w="965"/>
          </w:tcPr>
          <w:p>
            <w:pPr>
              <w:spacing w:after="0" w:before="0"/>
            </w:pPr>
            <w:r/>
            <w:r>
              <w:rPr>
                <w:b w:val="0"/>
              </w:rPr>
              <w:t>0.250</w:t>
            </w:r>
          </w:p>
        </w:tc>
        <w:tc>
          <w:tcPr>
            <w:tcW w:type="dxa" w:w="965"/>
          </w:tcPr>
          <w:p>
            <w:pPr>
              <w:spacing w:after="0" w:before="0"/>
            </w:pPr>
            <w:r/>
            <w:r>
              <w:rPr>
                <w:b w:val="0"/>
              </w:rPr>
              <w:t>0.388</w:t>
            </w:r>
          </w:p>
        </w:tc>
        <w:tc>
          <w:tcPr>
            <w:tcW w:type="dxa" w:w="965"/>
          </w:tcPr>
          <w:p>
            <w:pPr>
              <w:spacing w:after="0" w:before="0"/>
            </w:pPr>
            <w:r/>
            <w:r>
              <w:rPr>
                <w:b w:val="0"/>
              </w:rPr>
              <w:t>2</w:t>
            </w:r>
          </w:p>
        </w:tc>
      </w:tr>
      <w:tr>
        <w:tc>
          <w:tcPr>
            <w:tcW w:type="dxa" w:w="965"/>
          </w:tcPr>
          <w:p>
            <w:pPr>
              <w:spacing w:after="0" w:before="0"/>
            </w:pPr>
            <w:r/>
            <w:r>
              <w:rPr>
                <w:b w:val="0"/>
              </w:rPr>
              <w:t>Macaflavone I</w:t>
            </w:r>
          </w:p>
        </w:tc>
        <w:tc>
          <w:tcPr>
            <w:tcW w:type="dxa" w:w="965"/>
          </w:tcPr>
          <w:p>
            <w:pPr>
              <w:spacing w:after="0" w:before="0"/>
            </w:pPr>
            <w:r/>
            <w:r>
              <w:rPr>
                <w:b w:val="0"/>
              </w:rPr>
              <w:t>-7.479</w:t>
            </w:r>
          </w:p>
        </w:tc>
        <w:tc>
          <w:tcPr>
            <w:tcW w:type="dxa" w:w="965"/>
          </w:tcPr>
          <w:p>
            <w:pPr>
              <w:spacing w:after="0" w:before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965"/>
          </w:tcPr>
          <w:p>
            <w:pPr>
              <w:spacing w:after="0" w:before="0"/>
            </w:pPr>
            <w:r/>
            <w:r>
              <w:rPr>
                <w:b w:val="0"/>
              </w:rPr>
              <w:t>9</w:t>
            </w:r>
          </w:p>
        </w:tc>
        <w:tc>
          <w:tcPr>
            <w:tcW w:type="dxa" w:w="965"/>
          </w:tcPr>
          <w:p>
            <w:pPr>
              <w:spacing w:after="0" w:before="0"/>
            </w:pPr>
            <w:r/>
            <w:r>
              <w:rPr>
                <w:b w:val="0"/>
              </w:rPr>
              <w:t>0.000</w:t>
            </w:r>
          </w:p>
        </w:tc>
        <w:tc>
          <w:tcPr>
            <w:tcW w:type="dxa" w:w="965"/>
          </w:tcPr>
          <w:p>
            <w:pPr>
              <w:spacing w:after="0" w:before="0"/>
            </w:pPr>
            <w:r/>
            <w:r>
              <w:rPr>
                <w:b w:val="0"/>
              </w:rPr>
              <w:t>0.000</w:t>
            </w:r>
          </w:p>
        </w:tc>
        <w:tc>
          <w:tcPr>
            <w:tcW w:type="dxa" w:w="965"/>
          </w:tcPr>
          <w:p>
            <w:pPr>
              <w:spacing w:after="0" w:before="0"/>
            </w:pPr>
            <w:r/>
            <w:r>
              <w:rPr>
                <w:b w:val="0"/>
              </w:rPr>
              <w:t>0.124</w:t>
            </w:r>
          </w:p>
        </w:tc>
        <w:tc>
          <w:tcPr>
            <w:tcW w:type="dxa" w:w="965"/>
          </w:tcPr>
          <w:p>
            <w:pPr>
              <w:spacing w:after="0" w:before="0"/>
            </w:pPr>
            <w:r/>
            <w:r>
              <w:rPr>
                <w:b w:val="0"/>
              </w:rPr>
              <w:t>0.250</w:t>
            </w:r>
          </w:p>
        </w:tc>
        <w:tc>
          <w:tcPr>
            <w:tcW w:type="dxa" w:w="965"/>
          </w:tcPr>
          <w:p>
            <w:pPr>
              <w:spacing w:after="0" w:before="0"/>
            </w:pPr>
            <w:r/>
            <w:r>
              <w:rPr>
                <w:b w:val="0"/>
              </w:rPr>
              <w:t>0.050</w:t>
            </w:r>
          </w:p>
        </w:tc>
        <w:tc>
          <w:tcPr>
            <w:tcW w:type="dxa" w:w="965"/>
          </w:tcPr>
          <w:p>
            <w:pPr>
              <w:spacing w:after="0" w:before="0"/>
            </w:pPr>
            <w:r/>
            <w:r>
              <w:rPr>
                <w:b w:val="0"/>
              </w:rPr>
              <w:t>3</w:t>
            </w:r>
          </w:p>
        </w:tc>
      </w:tr>
    </w:tbl>
    <w:p>
      <w:pPr>
        <w:spacing w:after="120"/>
      </w:pPr>
    </w:p>
    <w:p>
      <w:pPr>
        <w:pStyle w:val="Heading2"/>
        <w:spacing w:after="120"/>
      </w:pPr>
      <w:r>
        <w:t>3.4 Mechanistic hypothesis for BCL-2 engagement</w:t>
      </w:r>
    </w:p>
    <w:p>
      <w:pPr>
        <w:spacing w:after="120"/>
      </w:pPr>
      <w:r>
        <w:t>The mechanistic figure is presented as a detailed multi-panel hypothesis-generating summary. It is intended to connect canonical-groove engagement, representative ligand contacts, and the downstream apoptosis framing while preserving conservative claim boundaries.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935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l_2_ligand_interactions_and_apoptosis_pathwa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3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</w:rPr>
        <w:t>Figure 6. Integrated mechanistic hypothesis for BCL-2 engagement by Macaflavone II.</w:t>
      </w:r>
    </w:p>
    <w:p>
      <w:pPr>
        <w:pStyle w:val="Heading2"/>
        <w:spacing w:after="120"/>
      </w:pPr>
      <w:r>
        <w:t>3.5 Ligand-based GNN performance and molecular interpretation</w:t>
      </w:r>
    </w:p>
    <w:p>
      <w:pPr>
        <w:spacing w:after="120"/>
      </w:pPr>
      <w:r>
        <w:t>Figure 7 is separated into three individual images. Panel a presents model performance as a line graph, panel b shows a molecular ranking of the external ligands according to model-consensus pActivity, and panel c provides a more detailed ligand-based GNN interpretation for Venetoclax, Macaflavone II, and Macaflavone I.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performance_evaluation_across_metric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</w:rPr>
        <w:t>Figure 7a. Model performance comparison across MAE, RMSE, R², and Spearman metrics.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mical_structure_ranking_by_pactiv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</w:rPr>
        <w:t>Figure 7b. Molecular ranking of external ligands based on model-consensus pActivity.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852160" cy="43891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lecular_comparison_with_gnn_visual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</w:rPr>
        <w:t>Figure 7c. Detailed ligand-based GNN molecular interpretation with atom saliency / node-importance views.</w:t>
      </w:r>
    </w:p>
    <w:p>
      <w:pPr>
        <w:spacing w:after="120"/>
      </w:pPr>
      <w:r>
        <w:rPr>
          <w:b/>
        </w:rPr>
        <w:t>Table 6. GNN model performance and baseline comparison.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/>
              </w:rPr>
              <w:t>Model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/>
              </w:rPr>
              <w:t>Split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/>
              </w:rPr>
              <w:t>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/>
              </w:rPr>
              <w:t>MAE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/>
              </w:rPr>
              <w:t>RMSE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/>
              </w:rPr>
              <w:t>R²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/>
              </w:rPr>
              <w:t>Pearson r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/>
              </w:rPr>
              <w:t>Spearman ρ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GIN-GNN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Test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477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0.600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0.856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0.683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0.827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0.827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Morgan RF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Test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477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0.514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0.730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0.770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0.883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0.872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Morgan Ridge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Test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477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0.649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0.882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0.664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0.836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0.830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</w:rPr>
        <w:t>Table 7. External ligand prediction and applicability-domain summary.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/>
              </w:rPr>
              <w:t>Ligand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/>
              </w:rPr>
              <w:t>GNN pActivity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/>
              </w:rPr>
              <w:t>RF pActivity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/>
              </w:rPr>
              <w:t>Ridge pActivity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/>
              </w:rPr>
              <w:t>Model-consensus pActivity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/>
              </w:rPr>
              <w:t>Max Tanimoto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/>
              </w:rPr>
              <w:t>AD code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/>
              </w:rPr>
              <w:t>Prediction rank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Venetoclax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9.152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8.736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9.997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9.295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1.000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1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Macaflavone I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6.042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6.296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6.241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6.193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0.198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2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Macaflavone II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5.756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6.333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5.178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5.755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0.212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3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BFC1108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5.566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5.781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5.102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5.483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0.321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4</w:t>
            </w:r>
          </w:p>
        </w:tc>
      </w:tr>
      <w:tr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BFC1103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4.860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5.830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5.404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5.364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0.308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206"/>
          </w:tcPr>
          <w:p>
            <w:pPr>
              <w:spacing w:after="0" w:before="0"/>
            </w:pPr>
            <w:r/>
            <w:r>
              <w:rPr>
                <w:b w:val="0"/>
              </w:rPr>
              <w:t>5</w:t>
            </w:r>
          </w:p>
        </w:tc>
      </w:tr>
    </w:tbl>
    <w:p>
      <w:pPr>
        <w:spacing w:after="120"/>
      </w:pPr>
    </w:p>
    <w:p>
      <w:pPr>
        <w:spacing w:after="120"/>
      </w:pPr>
      <w:r>
        <w:t>AD code: 1 = low; 2 = moderate; 3 = high.</w:t>
      </w:r>
    </w:p>
    <w:p>
      <w:pPr>
        <w:pStyle w:val="Heading2"/>
        <w:spacing w:after="120"/>
      </w:pPr>
      <w:r>
        <w:t>3.6 Final consensus prioritization</w:t>
      </w:r>
    </w:p>
    <w:p>
      <w:pPr>
        <w:spacing w:after="120"/>
      </w:pPr>
      <w:r>
        <w:t>The final consensus integrates docking rank, pilot MD rank, GNN prediction rank, applicability-domain information, and the composite consensus score. Venetoclax remained the strongest reference control, while Macaflavone II emerged as the stronger Macaflavone candidate for follow-up validation.</w:t>
      </w:r>
    </w:p>
    <w:p>
      <w:pPr>
        <w:spacing w:after="120"/>
      </w:pPr>
      <w:r>
        <w:rPr>
          <w:b/>
        </w:rPr>
        <w:t>Table 8. Final docking–MD–GNN consensus ranking.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</w:tblGrid>
      <w:tr>
        <w:tc>
          <w:tcPr>
            <w:tcW w:type="dxa" w:w="1072"/>
          </w:tcPr>
          <w:p>
            <w:pPr>
              <w:spacing w:after="0" w:before="0"/>
            </w:pPr>
            <w:r/>
            <w:r>
              <w:rPr>
                <w:b/>
              </w:rPr>
              <w:t>Ligand</w:t>
            </w:r>
          </w:p>
        </w:tc>
        <w:tc>
          <w:tcPr>
            <w:tcW w:type="dxa" w:w="1072"/>
          </w:tcPr>
          <w:p>
            <w:pPr>
              <w:spacing w:after="0" w:before="0"/>
            </w:pPr>
            <w:r/>
            <w:r>
              <w:rPr>
                <w:b/>
              </w:rPr>
              <w:t>Docking rank</w:t>
            </w:r>
          </w:p>
        </w:tc>
        <w:tc>
          <w:tcPr>
            <w:tcW w:type="dxa" w:w="1072"/>
          </w:tcPr>
          <w:p>
            <w:pPr>
              <w:spacing w:after="0" w:before="0"/>
            </w:pPr>
            <w:r/>
            <w:r>
              <w:rPr>
                <w:b/>
              </w:rPr>
              <w:t>MD rank</w:t>
            </w:r>
          </w:p>
        </w:tc>
        <w:tc>
          <w:tcPr>
            <w:tcW w:type="dxa" w:w="1072"/>
          </w:tcPr>
          <w:p>
            <w:pPr>
              <w:spacing w:after="0" w:before="0"/>
            </w:pPr>
            <w:r/>
            <w:r>
              <w:rPr>
                <w:b/>
              </w:rPr>
              <w:t>GNN prediction rank</w:t>
            </w:r>
          </w:p>
        </w:tc>
        <w:tc>
          <w:tcPr>
            <w:tcW w:type="dxa" w:w="1072"/>
          </w:tcPr>
          <w:p>
            <w:pPr>
              <w:spacing w:after="0" w:before="0"/>
            </w:pPr>
            <w:r/>
            <w:r>
              <w:rPr>
                <w:b/>
              </w:rPr>
              <w:t>AD code</w:t>
            </w:r>
          </w:p>
        </w:tc>
        <w:tc>
          <w:tcPr>
            <w:tcW w:type="dxa" w:w="1072"/>
          </w:tcPr>
          <w:p>
            <w:pPr>
              <w:spacing w:after="0" w:before="0"/>
            </w:pPr>
            <w:r/>
            <w:r>
              <w:rPr>
                <w:b/>
              </w:rPr>
              <w:t>Docking affinity (kcal/mol)</w:t>
            </w:r>
          </w:p>
        </w:tc>
        <w:tc>
          <w:tcPr>
            <w:tcW w:type="dxa" w:w="1072"/>
          </w:tcPr>
          <w:p>
            <w:pPr>
              <w:spacing w:after="0" w:before="0"/>
            </w:pPr>
            <w:r/>
            <w:r>
              <w:rPr>
                <w:b/>
              </w:rPr>
              <w:t>GNN consensus pActivity</w:t>
            </w:r>
          </w:p>
        </w:tc>
        <w:tc>
          <w:tcPr>
            <w:tcW w:type="dxa" w:w="1072"/>
          </w:tcPr>
          <w:p>
            <w:pPr>
              <w:spacing w:after="0" w:before="0"/>
            </w:pPr>
            <w:r/>
            <w:r>
              <w:rPr>
                <w:b/>
              </w:rPr>
              <w:t>Final consensus score</w:t>
            </w:r>
          </w:p>
        </w:tc>
        <w:tc>
          <w:tcPr>
            <w:tcW w:type="dxa" w:w="1072"/>
          </w:tcPr>
          <w:p>
            <w:pPr>
              <w:spacing w:after="0" w:before="0"/>
            </w:pPr>
            <w:r/>
            <w:r>
              <w:rPr>
                <w:b/>
              </w:rPr>
              <w:t>Final rank</w:t>
            </w:r>
          </w:p>
        </w:tc>
      </w:tr>
      <w:tr>
        <w:tc>
          <w:tcPr>
            <w:tcW w:type="dxa" w:w="1072"/>
          </w:tcPr>
          <w:p>
            <w:pPr>
              <w:spacing w:after="0" w:before="0"/>
            </w:pPr>
            <w:r/>
            <w:r>
              <w:rPr>
                <w:b w:val="0"/>
              </w:rPr>
              <w:t>Venetoclax</w:t>
            </w:r>
          </w:p>
        </w:tc>
        <w:tc>
          <w:tcPr>
            <w:tcW w:type="dxa" w:w="1072"/>
          </w:tcPr>
          <w:p>
            <w:pPr>
              <w:spacing w:after="0" w:before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072"/>
          </w:tcPr>
          <w:p>
            <w:pPr>
              <w:spacing w:after="0" w:before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072"/>
          </w:tcPr>
          <w:p>
            <w:pPr>
              <w:spacing w:after="0" w:before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072"/>
          </w:tcPr>
          <w:p>
            <w:pPr>
              <w:spacing w:after="0" w:before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1072"/>
          </w:tcPr>
          <w:p>
            <w:pPr>
              <w:spacing w:after="0" w:before="0"/>
            </w:pPr>
            <w:r/>
            <w:r>
              <w:rPr>
                <w:b w:val="0"/>
              </w:rPr>
              <w:t>-9.093</w:t>
            </w:r>
          </w:p>
        </w:tc>
        <w:tc>
          <w:tcPr>
            <w:tcW w:type="dxa" w:w="1072"/>
          </w:tcPr>
          <w:p>
            <w:pPr>
              <w:spacing w:after="0" w:before="0"/>
            </w:pPr>
            <w:r/>
            <w:r>
              <w:rPr>
                <w:b w:val="0"/>
              </w:rPr>
              <w:t>9.295</w:t>
            </w:r>
          </w:p>
        </w:tc>
        <w:tc>
          <w:tcPr>
            <w:tcW w:type="dxa" w:w="1072"/>
          </w:tcPr>
          <w:p>
            <w:pPr>
              <w:spacing w:after="0" w:before="0"/>
            </w:pPr>
            <w:r/>
            <w:r>
              <w:rPr>
                <w:b w:val="0"/>
              </w:rPr>
              <w:t>0.825</w:t>
            </w:r>
          </w:p>
        </w:tc>
        <w:tc>
          <w:tcPr>
            <w:tcW w:type="dxa" w:w="1072"/>
          </w:tcPr>
          <w:p>
            <w:pPr>
              <w:spacing w:after="0" w:before="0"/>
            </w:pPr>
            <w:r/>
            <w:r>
              <w:rPr>
                <w:b w:val="0"/>
              </w:rPr>
              <w:t>1</w:t>
            </w:r>
          </w:p>
        </w:tc>
      </w:tr>
      <w:tr>
        <w:tc>
          <w:tcPr>
            <w:tcW w:type="dxa" w:w="1072"/>
          </w:tcPr>
          <w:p>
            <w:pPr>
              <w:spacing w:after="0" w:before="0"/>
            </w:pPr>
            <w:r/>
            <w:r>
              <w:rPr>
                <w:b w:val="0"/>
              </w:rPr>
              <w:t>Macaflavone II</w:t>
            </w:r>
          </w:p>
        </w:tc>
        <w:tc>
          <w:tcPr>
            <w:tcW w:type="dxa" w:w="1072"/>
          </w:tcPr>
          <w:p>
            <w:pPr>
              <w:spacing w:after="0" w:before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072"/>
          </w:tcPr>
          <w:p>
            <w:pPr>
              <w:spacing w:after="0" w:before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072"/>
          </w:tcPr>
          <w:p>
            <w:pPr>
              <w:spacing w:after="0" w:before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1072"/>
          </w:tcPr>
          <w:p>
            <w:pPr>
              <w:spacing w:after="0" w:before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072"/>
          </w:tcPr>
          <w:p>
            <w:pPr>
              <w:spacing w:after="0" w:before="0"/>
            </w:pPr>
            <w:r/>
            <w:r>
              <w:rPr>
                <w:b w:val="0"/>
              </w:rPr>
              <w:t>-7.540</w:t>
            </w:r>
          </w:p>
        </w:tc>
        <w:tc>
          <w:tcPr>
            <w:tcW w:type="dxa" w:w="1072"/>
          </w:tcPr>
          <w:p>
            <w:pPr>
              <w:spacing w:after="0" w:before="0"/>
            </w:pPr>
            <w:r/>
            <w:r>
              <w:rPr>
                <w:b w:val="0"/>
              </w:rPr>
              <w:t>5.755</w:t>
            </w:r>
          </w:p>
        </w:tc>
        <w:tc>
          <w:tcPr>
            <w:tcW w:type="dxa" w:w="1072"/>
          </w:tcPr>
          <w:p>
            <w:pPr>
              <w:spacing w:after="0" w:before="0"/>
            </w:pPr>
            <w:r/>
            <w:r>
              <w:rPr>
                <w:b w:val="0"/>
              </w:rPr>
              <w:t>0.388</w:t>
            </w:r>
          </w:p>
        </w:tc>
        <w:tc>
          <w:tcPr>
            <w:tcW w:type="dxa" w:w="1072"/>
          </w:tcPr>
          <w:p>
            <w:pPr>
              <w:spacing w:after="0" w:before="0"/>
            </w:pPr>
            <w:r/>
            <w:r>
              <w:rPr>
                <w:b w:val="0"/>
              </w:rPr>
              <w:t>2</w:t>
            </w:r>
          </w:p>
        </w:tc>
      </w:tr>
      <w:tr>
        <w:tc>
          <w:tcPr>
            <w:tcW w:type="dxa" w:w="1072"/>
          </w:tcPr>
          <w:p>
            <w:pPr>
              <w:spacing w:after="0" w:before="0"/>
            </w:pPr>
            <w:r/>
            <w:r>
              <w:rPr>
                <w:b w:val="0"/>
              </w:rPr>
              <w:t>Macaflavone I</w:t>
            </w:r>
          </w:p>
        </w:tc>
        <w:tc>
          <w:tcPr>
            <w:tcW w:type="dxa" w:w="1072"/>
          </w:tcPr>
          <w:p>
            <w:pPr>
              <w:spacing w:after="0" w:before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1072"/>
          </w:tcPr>
          <w:p>
            <w:pPr>
              <w:spacing w:after="0" w:before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1072"/>
          </w:tcPr>
          <w:p>
            <w:pPr>
              <w:spacing w:after="0" w:before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072"/>
          </w:tcPr>
          <w:p>
            <w:pPr>
              <w:spacing w:after="0" w:before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072"/>
          </w:tcPr>
          <w:p>
            <w:pPr>
              <w:spacing w:after="0" w:before="0"/>
            </w:pPr>
            <w:r/>
            <w:r>
              <w:rPr>
                <w:b w:val="0"/>
              </w:rPr>
              <w:t>-7.479</w:t>
            </w:r>
          </w:p>
        </w:tc>
        <w:tc>
          <w:tcPr>
            <w:tcW w:type="dxa" w:w="1072"/>
          </w:tcPr>
          <w:p>
            <w:pPr>
              <w:spacing w:after="0" w:before="0"/>
            </w:pPr>
            <w:r/>
            <w:r>
              <w:rPr>
                <w:b w:val="0"/>
              </w:rPr>
              <w:t>6.193</w:t>
            </w:r>
          </w:p>
        </w:tc>
        <w:tc>
          <w:tcPr>
            <w:tcW w:type="dxa" w:w="1072"/>
          </w:tcPr>
          <w:p>
            <w:pPr>
              <w:spacing w:after="0" w:before="0"/>
            </w:pPr>
            <w:r/>
            <w:r>
              <w:rPr>
                <w:b w:val="0"/>
              </w:rPr>
              <w:t>0.050</w:t>
            </w:r>
          </w:p>
        </w:tc>
        <w:tc>
          <w:tcPr>
            <w:tcW w:type="dxa" w:w="1072"/>
          </w:tcPr>
          <w:p>
            <w:pPr>
              <w:spacing w:after="0" w:before="0"/>
            </w:pPr>
            <w:r/>
            <w:r>
              <w:rPr>
                <w:b w:val="0"/>
              </w:rPr>
              <w:t>3</w:t>
            </w:r>
          </w:p>
        </w:tc>
      </w:tr>
    </w:tbl>
    <w:p>
      <w:pPr>
        <w:spacing w:after="120"/>
      </w:pPr>
    </w:p>
    <w:p>
      <w:pPr>
        <w:pStyle w:val="Heading1"/>
        <w:spacing w:after="120"/>
      </w:pPr>
      <w:r>
        <w:t>4. Conclusions</w:t>
      </w:r>
    </w:p>
    <w:p>
      <w:pPr>
        <w:spacing w:after="120"/>
      </w:pPr>
      <w:r>
        <w:t>An integrated docking–pilot MD–GNN workflow was successfully organized for Macaflavone-based BCL-2 prioritization. Venetoclax remained the strongest canonical-groove reference control. Among the two natural-product candidates, Macaflavone II showed slightly better docking support and stronger pilot MD interaction-persistence evidence than Macaflavone I. The ligand-based GNN provided a useful auxiliary signal but required cautious interpretation because both Macaflavones had low applicability-domain similarity to the training chemical space. Overall, the current evidence supports computational prioritization of Macaflavone II for follow-up MM-PBSA, longer MD, or experimental validation, but it does not establish confirmed BCL-2 inhibition or apoptosis activation.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